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D15F6" w14:textId="77777777" w:rsidR="008C7BFF" w:rsidRPr="00EA13BC" w:rsidRDefault="008C7BFF" w:rsidP="00645F13">
      <w:pPr>
        <w:pStyle w:val="Title"/>
        <w:spacing w:after="120"/>
        <w:jc w:val="center"/>
      </w:pPr>
      <w:r w:rsidRPr="00EA13BC">
        <w:t>Federal Information and Information Systems</w:t>
      </w:r>
    </w:p>
    <w:p w14:paraId="77206C95" w14:textId="77777777" w:rsidR="008C7BFF" w:rsidRDefault="008C7BFF" w:rsidP="00BF669A">
      <w:pPr>
        <w:pStyle w:val="Heading1"/>
        <w:numPr>
          <w:ilvl w:val="0"/>
          <w:numId w:val="19"/>
        </w:numPr>
        <w:spacing w:after="120" w:line="240" w:lineRule="auto"/>
        <w:ind w:left="360"/>
      </w:pPr>
      <w:r w:rsidRPr="000700C3">
        <w:t>HHS-Controlled Facilities and Information Systems Security</w:t>
      </w:r>
    </w:p>
    <w:p w14:paraId="31F297D3" w14:textId="77777777" w:rsidR="00BF669A" w:rsidRPr="00BF669A" w:rsidRDefault="008C7BFF" w:rsidP="00BF669A">
      <w:pPr>
        <w:numPr>
          <w:ilvl w:val="3"/>
          <w:numId w:val="2"/>
        </w:numPr>
        <w:tabs>
          <w:tab w:val="num" w:pos="720"/>
        </w:tabs>
        <w:spacing w:after="120" w:line="240" w:lineRule="auto"/>
        <w:ind w:left="720"/>
        <w:rPr>
          <w:rFonts w:cstheme="minorHAnsi"/>
          <w:szCs w:val="24"/>
        </w:rPr>
      </w:pPr>
      <w:r w:rsidRPr="00BF669A">
        <w:rPr>
          <w:rFonts w:cstheme="minorHAnsi"/>
          <w:szCs w:val="24"/>
        </w:rP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 through (3).</w:t>
      </w:r>
    </w:p>
    <w:p w14:paraId="42B751B1" w14:textId="77777777" w:rsidR="00BF669A" w:rsidRPr="00BF669A" w:rsidRDefault="008C7BFF" w:rsidP="00BF669A">
      <w:pPr>
        <w:numPr>
          <w:ilvl w:val="3"/>
          <w:numId w:val="2"/>
        </w:numPr>
        <w:tabs>
          <w:tab w:val="num" w:pos="720"/>
        </w:tabs>
        <w:spacing w:after="120" w:line="240" w:lineRule="auto"/>
        <w:ind w:left="720"/>
        <w:rPr>
          <w:rFonts w:cstheme="minorHAnsi"/>
          <w:szCs w:val="24"/>
        </w:rPr>
      </w:pPr>
      <w:r w:rsidRPr="00BF669A">
        <w:rPr>
          <w:rFonts w:cstheme="minorHAnsi"/>
          <w:szCs w:val="24"/>
        </w:rP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14:paraId="1206E22F" w14:textId="2B9A93A4" w:rsidR="00263D6A" w:rsidRPr="00CC1423" w:rsidRDefault="008C7BFF" w:rsidP="00BF669A">
      <w:pPr>
        <w:numPr>
          <w:ilvl w:val="0"/>
          <w:numId w:val="3"/>
        </w:numPr>
        <w:spacing w:after="120" w:line="240" w:lineRule="auto"/>
        <w:rPr>
          <w:rFonts w:cstheme="minorHAnsi"/>
          <w:szCs w:val="24"/>
        </w:rPr>
      </w:pPr>
      <w:r w:rsidRPr="00CC1423">
        <w:rPr>
          <w:rFonts w:cstheme="minorHAnsi"/>
          <w:szCs w:val="24"/>
        </w:rPr>
        <w:t>HHS Information Security Program Policy</w:t>
      </w:r>
      <w:r w:rsidR="00CC1423" w:rsidRPr="00CC1423">
        <w:rPr>
          <w:rFonts w:cstheme="minorHAnsi"/>
          <w:szCs w:val="24"/>
        </w:rPr>
        <w:t xml:space="preserve"> </w:t>
      </w:r>
      <w:hyperlink r:id="rId7" w:history="1">
        <w:r w:rsidR="00CC1423" w:rsidRPr="00CF576F">
          <w:rPr>
            <w:rStyle w:val="Hyperlink"/>
            <w:rFonts w:cstheme="minorHAnsi"/>
            <w:szCs w:val="24"/>
          </w:rPr>
          <w:t>https://www.hhs.gov/about/agencies/asa/ocio/cybersecurity/information-security-privacy-program/index.html</w:t>
        </w:r>
      </w:hyperlink>
      <w:r w:rsidR="00CC1423">
        <w:rPr>
          <w:rFonts w:cstheme="minorHAnsi"/>
          <w:szCs w:val="24"/>
        </w:rPr>
        <w:t xml:space="preserve"> </w:t>
      </w:r>
    </w:p>
    <w:p w14:paraId="376240D0" w14:textId="41A43808" w:rsidR="00E51B47" w:rsidRDefault="00E51B47" w:rsidP="00CC1423">
      <w:pPr>
        <w:spacing w:after="0" w:line="240" w:lineRule="auto"/>
        <w:ind w:left="1080"/>
        <w:rPr>
          <w:rFonts w:cstheme="minorHAnsi"/>
          <w:szCs w:val="24"/>
        </w:rPr>
      </w:pPr>
      <w:r>
        <w:rPr>
          <w:rFonts w:cstheme="minorHAnsi"/>
          <w:szCs w:val="24"/>
        </w:rPr>
        <w:t>Drug-Free Workplace Guidelines and Resources – Health and Human Services (HHS) Mandatory Guidelines</w:t>
      </w:r>
    </w:p>
    <w:p w14:paraId="0484EAD2" w14:textId="7161E5B5" w:rsidR="00C34239" w:rsidRDefault="00340732" w:rsidP="00CC1423">
      <w:pPr>
        <w:spacing w:after="0" w:line="240" w:lineRule="auto"/>
        <w:ind w:left="1080"/>
        <w:rPr>
          <w:rFonts w:cstheme="minorHAnsi"/>
          <w:szCs w:val="24"/>
          <w:highlight w:val="yellow"/>
        </w:rPr>
      </w:pPr>
      <w:hyperlink r:id="rId8" w:history="1">
        <w:r w:rsidRPr="00BB72C5">
          <w:rPr>
            <w:rStyle w:val="Hyperlink"/>
            <w:rFonts w:cstheme="minorHAnsi"/>
            <w:szCs w:val="24"/>
          </w:rPr>
          <w:t>https://www.samhsa.gov/workplace/resources</w:t>
        </w:r>
      </w:hyperlink>
      <w:r>
        <w:rPr>
          <w:rFonts w:cstheme="minorHAnsi"/>
          <w:szCs w:val="24"/>
        </w:rPr>
        <w:t xml:space="preserve"> </w:t>
      </w:r>
    </w:p>
    <w:p w14:paraId="39F0B4FC" w14:textId="3884F475" w:rsidR="00E51B47" w:rsidRPr="002D3F08" w:rsidRDefault="00E51B47" w:rsidP="00CC1423">
      <w:pPr>
        <w:spacing w:after="0" w:line="240" w:lineRule="auto"/>
        <w:ind w:left="1080"/>
        <w:rPr>
          <w:rFonts w:cstheme="minorHAnsi"/>
          <w:szCs w:val="24"/>
          <w:highlight w:val="yellow"/>
        </w:rPr>
      </w:pPr>
    </w:p>
    <w:p w14:paraId="3A42F9B6" w14:textId="77777777" w:rsidR="00EA13BC" w:rsidRDefault="008C7BFF" w:rsidP="00CC1423">
      <w:pPr>
        <w:numPr>
          <w:ilvl w:val="0"/>
          <w:numId w:val="3"/>
        </w:numPr>
        <w:spacing w:after="0" w:line="240" w:lineRule="auto"/>
        <w:rPr>
          <w:rFonts w:cstheme="minorHAnsi"/>
          <w:szCs w:val="24"/>
        </w:rPr>
      </w:pPr>
      <w:r w:rsidRPr="000700C3">
        <w:rPr>
          <w:rFonts w:cstheme="minorHAnsi"/>
          <w:szCs w:val="24"/>
        </w:rPr>
        <w:t xml:space="preserve">HHS HSPD-12 Policy Document, v. 2.0 </w:t>
      </w:r>
    </w:p>
    <w:p w14:paraId="0F0FA1C2" w14:textId="510EA258" w:rsidR="009C5ECA" w:rsidRDefault="009C5ECA" w:rsidP="00CC1423">
      <w:pPr>
        <w:spacing w:after="0" w:line="240" w:lineRule="auto"/>
        <w:ind w:left="1080"/>
        <w:rPr>
          <w:rStyle w:val="Hyperlink"/>
          <w:szCs w:val="24"/>
        </w:rPr>
      </w:pPr>
      <w:hyperlink r:id="rId9" w:history="1">
        <w:r w:rsidRPr="002D3F08">
          <w:rPr>
            <w:rStyle w:val="Hyperlink"/>
            <w:szCs w:val="24"/>
          </w:rPr>
          <w:t>https://www.dhs.gov/homeland-security-presidential-directive-12</w:t>
        </w:r>
      </w:hyperlink>
      <w:r w:rsidR="00CC1423">
        <w:rPr>
          <w:rStyle w:val="Hyperlink"/>
          <w:szCs w:val="24"/>
        </w:rPr>
        <w:t xml:space="preserve"> </w:t>
      </w:r>
    </w:p>
    <w:p w14:paraId="3976E1DC" w14:textId="77777777" w:rsidR="00CC1423" w:rsidRPr="00CD1D17" w:rsidRDefault="00CC1423" w:rsidP="00CC1423">
      <w:pPr>
        <w:spacing w:after="0" w:line="240" w:lineRule="auto"/>
        <w:ind w:left="1080"/>
        <w:rPr>
          <w:rFonts w:cstheme="minorHAnsi"/>
          <w:szCs w:val="24"/>
        </w:rPr>
      </w:pPr>
    </w:p>
    <w:p w14:paraId="22AC8D43" w14:textId="5BA8980E" w:rsidR="00CD1D17" w:rsidRPr="00CC1423" w:rsidRDefault="008C7BFF" w:rsidP="00CC1423">
      <w:pPr>
        <w:numPr>
          <w:ilvl w:val="0"/>
          <w:numId w:val="3"/>
        </w:numPr>
        <w:spacing w:after="0" w:line="240" w:lineRule="auto"/>
        <w:rPr>
          <w:rFonts w:cstheme="minorHAnsi"/>
          <w:szCs w:val="24"/>
        </w:rPr>
      </w:pPr>
      <w:r w:rsidRPr="00CC1423">
        <w:rPr>
          <w:rFonts w:cstheme="minorHAnsi"/>
          <w:szCs w:val="24"/>
        </w:rPr>
        <w:t>Information regarding background checks/badges</w:t>
      </w:r>
      <w:r w:rsidR="00CC1423" w:rsidRPr="00CC1423">
        <w:rPr>
          <w:rFonts w:cstheme="minorHAnsi"/>
          <w:szCs w:val="24"/>
        </w:rPr>
        <w:t xml:space="preserve"> </w:t>
      </w:r>
      <w:r w:rsidRPr="00CC1423">
        <w:rPr>
          <w:rFonts w:cstheme="minorHAnsi"/>
          <w:szCs w:val="24"/>
        </w:rPr>
        <w:br/>
      </w:r>
      <w:hyperlink r:id="rId10" w:history="1">
        <w:r w:rsidR="00CC1423" w:rsidRPr="00CC1423">
          <w:rPr>
            <w:rStyle w:val="Hyperlink"/>
            <w:rFonts w:cstheme="minorHAnsi"/>
            <w:szCs w:val="24"/>
          </w:rPr>
          <w:t>https://ors.od.nih.gov/ser/dpsac/services/badge-issuance/Pages/getting-your-badge.aspx</w:t>
        </w:r>
      </w:hyperlink>
      <w:r w:rsidR="00CC1423" w:rsidRPr="00CC1423">
        <w:rPr>
          <w:rFonts w:cstheme="minorHAnsi"/>
          <w:szCs w:val="24"/>
        </w:rPr>
        <w:t xml:space="preserve"> </w:t>
      </w:r>
    </w:p>
    <w:p w14:paraId="16EC4031" w14:textId="77777777" w:rsidR="00CC1423" w:rsidRPr="00CC1423" w:rsidRDefault="00CC1423" w:rsidP="00CC1423">
      <w:pPr>
        <w:spacing w:after="0" w:line="240" w:lineRule="auto"/>
        <w:ind w:left="1080"/>
        <w:rPr>
          <w:rFonts w:cstheme="minorHAnsi"/>
          <w:szCs w:val="24"/>
          <w:highlight w:val="yellow"/>
        </w:rPr>
      </w:pPr>
    </w:p>
    <w:p w14:paraId="4945B296" w14:textId="77777777" w:rsidR="008C7BFF" w:rsidRPr="000700C3" w:rsidRDefault="008C7BFF" w:rsidP="00BF669A">
      <w:pPr>
        <w:pStyle w:val="ListParagraph"/>
        <w:numPr>
          <w:ilvl w:val="0"/>
          <w:numId w:val="4"/>
        </w:numPr>
        <w:spacing w:after="120" w:line="240" w:lineRule="auto"/>
        <w:rPr>
          <w:rFonts w:cstheme="minorHAnsi"/>
          <w:szCs w:val="24"/>
        </w:rPr>
      </w:pPr>
      <w:r w:rsidRPr="000700C3">
        <w:rPr>
          <w:rFonts w:cstheme="minorHAnsi"/>
          <w:szCs w:val="24"/>
        </w:rPr>
        <w:t>Position Sensitivity Levels:</w:t>
      </w:r>
      <w:r w:rsidRPr="000700C3">
        <w:rPr>
          <w:rFonts w:cstheme="minorHAnsi"/>
          <w:szCs w:val="24"/>
        </w:rPr>
        <w:br/>
        <w:t>This contract will entail the following position sensitivity levels:</w:t>
      </w:r>
    </w:p>
    <w:p w14:paraId="6B5B5F11" w14:textId="77777777" w:rsidR="009C5ECA" w:rsidRPr="002D3F08" w:rsidRDefault="009C5ECA" w:rsidP="00BF669A">
      <w:pPr>
        <w:pStyle w:val="ListParagraph"/>
        <w:spacing w:after="120" w:line="240" w:lineRule="auto"/>
        <w:ind w:left="1080" w:hanging="360"/>
        <w:rPr>
          <w:rFonts w:cstheme="minorHAnsi"/>
          <w:strike/>
          <w:szCs w:val="24"/>
        </w:rPr>
      </w:pPr>
    </w:p>
    <w:p w14:paraId="4E960757"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bookmarkStart w:id="0" w:name="_Hlk77848017"/>
      <w:r w:rsidRPr="00263D6A">
        <w:rPr>
          <w:rFonts w:cs="Times New Roman"/>
          <w:bCs/>
          <w:szCs w:val="24"/>
        </w:rPr>
        <w:t xml:space="preserve">[  ] Tier 5: Critical Sensitive and Special Sensitive National Security, including Top Secret, SCI, and “Q” access eligibility. </w:t>
      </w:r>
    </w:p>
    <w:p w14:paraId="6CA46A19"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 Tier 5SR: Reinvestigation.</w:t>
      </w:r>
    </w:p>
    <w:p w14:paraId="7A872495"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w:t>
      </w:r>
    </w:p>
    <w:p w14:paraId="2D9370BA"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 Tier 4: High Risk Public Trust (HRPT). </w:t>
      </w:r>
    </w:p>
    <w:p w14:paraId="0C584825"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 Tier 4SR: Reinvestigation.</w:t>
      </w:r>
    </w:p>
    <w:p w14:paraId="31D46C3D"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p>
    <w:p w14:paraId="3D492DDC"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 Tier 3: Non-Critical Sensitive, National Security, including Secret and “L” access eligibility. </w:t>
      </w:r>
    </w:p>
    <w:p w14:paraId="3B7138A0"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 Tier 3SR: Reinvestigation. </w:t>
      </w:r>
    </w:p>
    <w:p w14:paraId="01961497"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p>
    <w:p w14:paraId="75A09CC0"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bookmarkStart w:id="1" w:name="_Hlk77852299"/>
      <w:r w:rsidRPr="00263D6A">
        <w:rPr>
          <w:rFonts w:cs="Times New Roman"/>
          <w:bCs/>
          <w:szCs w:val="24"/>
        </w:rPr>
        <w:t xml:space="preserve">[  ] Tier 2S with Subject Interview: Moderate Risk Public Trust (MRPT). </w:t>
      </w:r>
    </w:p>
    <w:bookmarkEnd w:id="1"/>
    <w:p w14:paraId="2DAA5EEC"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 Tier 2SR: Reinvestigation. </w:t>
      </w:r>
    </w:p>
    <w:p w14:paraId="7C085BC6"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p>
    <w:p w14:paraId="67B5A52D" w14:textId="77777777" w:rsidR="00263D6A" w:rsidRPr="00263D6A" w:rsidRDefault="00263D6A" w:rsidP="00263D6A">
      <w:pPr>
        <w:widowControl w:val="0"/>
        <w:autoSpaceDE w:val="0"/>
        <w:autoSpaceDN w:val="0"/>
        <w:adjustRightInd w:val="0"/>
        <w:spacing w:before="25" w:after="15" w:line="240" w:lineRule="auto"/>
        <w:ind w:left="990" w:hanging="270"/>
        <w:rPr>
          <w:rFonts w:cs="Times New Roman"/>
          <w:bCs/>
          <w:szCs w:val="24"/>
        </w:rPr>
      </w:pPr>
      <w:r w:rsidRPr="00263D6A">
        <w:rPr>
          <w:rFonts w:cs="Times New Roman"/>
          <w:bCs/>
          <w:szCs w:val="24"/>
        </w:rPr>
        <w:t xml:space="preserve">[  ] Tier 1: Low Risk, Non-Sensitive, including HSPD-12 Credentialing. </w:t>
      </w:r>
    </w:p>
    <w:bookmarkEnd w:id="0"/>
    <w:p w14:paraId="3C7553CD" w14:textId="77777777" w:rsidR="009C5ECA" w:rsidRDefault="009C5ECA" w:rsidP="002D3F08">
      <w:pPr>
        <w:spacing w:after="120" w:line="240" w:lineRule="auto"/>
        <w:ind w:left="720"/>
        <w:rPr>
          <w:rFonts w:cstheme="minorHAnsi"/>
          <w:szCs w:val="24"/>
        </w:rPr>
      </w:pPr>
    </w:p>
    <w:p w14:paraId="1CD13DAB" w14:textId="4E177F7C" w:rsidR="009F1C43" w:rsidRDefault="008C7BFF" w:rsidP="00CC1423">
      <w:pPr>
        <w:numPr>
          <w:ilvl w:val="0"/>
          <w:numId w:val="5"/>
        </w:numPr>
        <w:spacing w:after="0" w:line="240" w:lineRule="auto"/>
        <w:rPr>
          <w:rFonts w:cstheme="minorHAnsi"/>
          <w:szCs w:val="24"/>
        </w:rPr>
      </w:pPr>
      <w:r w:rsidRPr="000700C3">
        <w:rPr>
          <w:rFonts w:cstheme="minorHAnsi"/>
          <w:szCs w:val="24"/>
        </w:rPr>
        <w:t>The personnel investigation procedures for Contractor personnel require that (upon award)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rsidRPr="000700C3">
        <w:rPr>
          <w:rFonts w:cstheme="minorHAnsi"/>
          <w:szCs w:val="24"/>
        </w:rPr>
        <w:br/>
      </w:r>
      <w:r w:rsidRPr="000700C3">
        <w:rPr>
          <w:rFonts w:cstheme="minorHAnsi"/>
          <w:szCs w:val="24"/>
        </w:rPr>
        <w:br/>
        <w:t>As part of its proposal, and if the anticipated position sensitivity levels are specified in paragraph (d) above, the Offeror shall notify the Contracting Officer of (1) its proposed personnel who will be subject to a background check/investigation and (2) whether any of its proposed personnel who will work under the contract have previously been the subject of national agency checks or background investigations.</w:t>
      </w:r>
      <w:r w:rsidRPr="000700C3">
        <w:rPr>
          <w:rFonts w:cstheme="minorHAnsi"/>
          <w:szCs w:val="24"/>
        </w:rPr>
        <w:br/>
      </w:r>
      <w:r w:rsidRPr="000700C3">
        <w:rPr>
          <w:rFonts w:cstheme="minorHAnsi"/>
          <w:szCs w:val="24"/>
        </w:rPr>
        <w:br/>
        <w:t>Upon award, 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 Technical Representative (COTR),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w:t>
      </w:r>
      <w:r w:rsidR="00FA4D23">
        <w:rPr>
          <w:rFonts w:cstheme="minorHAnsi"/>
          <w:szCs w:val="24"/>
        </w:rPr>
        <w:t xml:space="preserve"> Contractor</w:t>
      </w:r>
      <w:r w:rsidRPr="000700C3">
        <w:rPr>
          <w:rFonts w:cstheme="minorHAnsi"/>
          <w:szCs w:val="24"/>
        </w:rPr>
        <w:t xml:space="preserve"> use at:</w:t>
      </w:r>
      <w:r w:rsidR="00CC1423" w:rsidRPr="000700C3">
        <w:rPr>
          <w:rFonts w:cstheme="minorHAnsi"/>
          <w:szCs w:val="24"/>
        </w:rPr>
        <w:t xml:space="preserve"> </w:t>
      </w:r>
      <w:r w:rsidRPr="000700C3">
        <w:rPr>
          <w:rFonts w:cstheme="minorHAnsi"/>
          <w:szCs w:val="24"/>
        </w:rPr>
        <w:br/>
      </w:r>
      <w:hyperlink r:id="rId11" w:history="1">
        <w:r w:rsidR="009F1C43" w:rsidRPr="00BB72C5">
          <w:rPr>
            <w:rStyle w:val="Hyperlink"/>
            <w:rFonts w:cstheme="minorHAnsi"/>
            <w:szCs w:val="24"/>
          </w:rPr>
          <w:t>https://ocio.nih.gov/aboutus/publicinfosecurity/acquisition/Documents/SuitabilityRoster_10-15-12.xlsx</w:t>
        </w:r>
      </w:hyperlink>
      <w:r w:rsidR="009F1C43">
        <w:rPr>
          <w:rFonts w:cstheme="minorHAnsi"/>
          <w:szCs w:val="24"/>
        </w:rPr>
        <w:t xml:space="preserve"> </w:t>
      </w:r>
    </w:p>
    <w:p w14:paraId="6039A171" w14:textId="0D429F30" w:rsidR="008C7BFF" w:rsidRDefault="008C7BFF" w:rsidP="00CC1423">
      <w:pPr>
        <w:spacing w:after="0" w:line="240" w:lineRule="auto"/>
        <w:ind w:left="720"/>
        <w:rPr>
          <w:rFonts w:cstheme="minorHAnsi"/>
          <w:szCs w:val="24"/>
        </w:rPr>
      </w:pPr>
      <w:r w:rsidRPr="000700C3">
        <w:rPr>
          <w:rFonts w:cstheme="minorHAnsi"/>
          <w:szCs w:val="24"/>
        </w:rPr>
        <w:br/>
        <w:t>Upon receipt of the Government's notification of applicable Suitability Investigations required, the Contractor shall complete and submit the required forms within 30 days of the notification.</w:t>
      </w:r>
      <w:r w:rsidRPr="000700C3">
        <w:rPr>
          <w:rFonts w:cstheme="minorHAnsi"/>
          <w:szCs w:val="24"/>
        </w:rPr>
        <w:br/>
      </w:r>
      <w:r w:rsidRPr="000700C3">
        <w:rPr>
          <w:rFonts w:cstheme="minorHAnsi"/>
          <w:szCs w:val="24"/>
        </w:rP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rsidRPr="000700C3">
        <w:rPr>
          <w:rFonts w:cstheme="minorHAnsi"/>
          <w:szCs w:val="24"/>
        </w:rPr>
        <w:br/>
      </w:r>
      <w:r w:rsidRPr="000700C3">
        <w:rPr>
          <w:rFonts w:cstheme="minorHAnsi"/>
          <w:szCs w:val="24"/>
        </w:rPr>
        <w:br/>
        <w:t>All</w:t>
      </w:r>
      <w:r w:rsidR="00FA4D23">
        <w:rPr>
          <w:rFonts w:cstheme="minorHAnsi"/>
          <w:szCs w:val="24"/>
        </w:rPr>
        <w:t xml:space="preserve"> Contractor</w:t>
      </w:r>
      <w:r w:rsidRPr="000700C3">
        <w:rPr>
          <w:rFonts w:cstheme="minorHAnsi"/>
          <w:szCs w:val="24"/>
        </w:rPr>
        <w:t xml:space="preserve"> and subcontractor employees shall comply with the conditions established for their designated position sensitivity level prior to performing any work under this contract.</w:t>
      </w:r>
      <w:r w:rsidRPr="000700C3">
        <w:rPr>
          <w:rFonts w:cstheme="minorHAnsi"/>
          <w:szCs w:val="24"/>
        </w:rPr>
        <w:br/>
      </w:r>
      <w:r w:rsidRPr="000700C3">
        <w:rPr>
          <w:rFonts w:cstheme="minorHAnsi"/>
          <w:szCs w:val="24"/>
        </w:rPr>
        <w:br/>
        <w:t>Contractors may begin work after the fingerprint check has been completed.</w:t>
      </w:r>
    </w:p>
    <w:p w14:paraId="490A27CA" w14:textId="77777777" w:rsidR="00CC1423" w:rsidRPr="000700C3" w:rsidRDefault="00CC1423" w:rsidP="00CC1423">
      <w:pPr>
        <w:spacing w:after="0" w:line="240" w:lineRule="auto"/>
        <w:ind w:left="720"/>
        <w:rPr>
          <w:rFonts w:cstheme="minorHAnsi"/>
          <w:szCs w:val="24"/>
        </w:rPr>
      </w:pPr>
    </w:p>
    <w:p w14:paraId="1DF35301" w14:textId="77777777" w:rsidR="008C7BFF" w:rsidRPr="000700C3" w:rsidRDefault="008C7BFF" w:rsidP="00BF669A">
      <w:pPr>
        <w:numPr>
          <w:ilvl w:val="0"/>
          <w:numId w:val="5"/>
        </w:numPr>
        <w:spacing w:after="120" w:line="240" w:lineRule="auto"/>
        <w:rPr>
          <w:rFonts w:cstheme="minorHAnsi"/>
          <w:szCs w:val="24"/>
        </w:rPr>
      </w:pPr>
      <w:r w:rsidRPr="000700C3">
        <w:rPr>
          <w:rFonts w:cstheme="minorHAnsi"/>
          <w:szCs w:val="24"/>
        </w:rP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1AC416DF" w14:textId="77777777" w:rsidR="008C7BFF" w:rsidRPr="000700C3" w:rsidRDefault="008C7BFF" w:rsidP="00BF669A">
      <w:pPr>
        <w:numPr>
          <w:ilvl w:val="0"/>
          <w:numId w:val="5"/>
        </w:numPr>
        <w:spacing w:after="120" w:line="240" w:lineRule="auto"/>
        <w:rPr>
          <w:rFonts w:cstheme="minorHAnsi"/>
          <w:szCs w:val="24"/>
        </w:rPr>
      </w:pPr>
      <w:r w:rsidRPr="000700C3">
        <w:rPr>
          <w:rFonts w:cstheme="minorHAnsi"/>
          <w:szCs w:val="24"/>
        </w:rPr>
        <w:t>Typically, the Government investigates personnel at no cost to the Contractor.  However, multiple investigations for the same position may, at the Contracting Officer's discretion, justify reduction(s) in the contract price of no more than the cost of the additional investigation(s).  Accordingly, if position sensitivity levels are specified in paragraph (d) above, the Offeror shall ensure that the employees it proposes for work under this contract/order have a reasonable chance for approval.</w:t>
      </w:r>
    </w:p>
    <w:p w14:paraId="6FAE23C1" w14:textId="77777777" w:rsidR="008C7BFF" w:rsidRPr="000700C3" w:rsidRDefault="008C7BFF" w:rsidP="00BF669A">
      <w:pPr>
        <w:numPr>
          <w:ilvl w:val="0"/>
          <w:numId w:val="5"/>
        </w:numPr>
        <w:spacing w:after="120" w:line="240" w:lineRule="auto"/>
        <w:rPr>
          <w:rFonts w:cstheme="minorHAnsi"/>
          <w:szCs w:val="24"/>
        </w:rPr>
      </w:pPr>
      <w:r w:rsidRPr="000700C3">
        <w:rPr>
          <w:rFonts w:cstheme="minorHAnsi"/>
          <w:szCs w:val="24"/>
        </w:rPr>
        <w:lastRenderedPageBreak/>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069E8C8B" w14:textId="77777777" w:rsidR="008C7BFF" w:rsidRPr="000700C3" w:rsidRDefault="008C7BFF" w:rsidP="00BF669A">
      <w:pPr>
        <w:numPr>
          <w:ilvl w:val="0"/>
          <w:numId w:val="5"/>
        </w:numPr>
        <w:spacing w:after="120" w:line="240" w:lineRule="auto"/>
        <w:rPr>
          <w:rFonts w:cstheme="minorHAnsi"/>
          <w:szCs w:val="24"/>
        </w:rPr>
      </w:pPr>
      <w:r w:rsidRPr="000700C3">
        <w:rPr>
          <w:rFonts w:cstheme="minorHAnsi"/>
          <w:szCs w:val="24"/>
        </w:rPr>
        <w:t>The Contractor shall direct inquiries, including requests for forms and assistance, to the Contracting Officer.</w:t>
      </w:r>
    </w:p>
    <w:p w14:paraId="0B82537E" w14:textId="77777777" w:rsidR="008C7BFF" w:rsidRDefault="008C7BFF" w:rsidP="00BF669A">
      <w:pPr>
        <w:numPr>
          <w:ilvl w:val="0"/>
          <w:numId w:val="5"/>
        </w:numPr>
        <w:spacing w:after="120" w:line="240" w:lineRule="auto"/>
        <w:rPr>
          <w:rFonts w:cstheme="minorHAnsi"/>
          <w:szCs w:val="24"/>
        </w:rPr>
      </w:pPr>
      <w:r w:rsidRPr="00BF669A">
        <w:rPr>
          <w:rFonts w:cstheme="minorHAnsi"/>
          <w:szCs w:val="24"/>
        </w:rPr>
        <w:t>Within 7 calendar days after the Government's final acceptance of the work under this contract, or upon termination of the contract, the Contractor shall return all dentification badges to the Contracting Officer or designee. </w:t>
      </w:r>
    </w:p>
    <w:p w14:paraId="21C9B595" w14:textId="77777777" w:rsidR="00F96F29" w:rsidRPr="00BF669A" w:rsidRDefault="00F96F29" w:rsidP="00F96F29">
      <w:pPr>
        <w:spacing w:after="120" w:line="240" w:lineRule="auto"/>
        <w:rPr>
          <w:rFonts w:cstheme="minorHAnsi"/>
          <w:szCs w:val="24"/>
        </w:rPr>
      </w:pPr>
    </w:p>
    <w:p w14:paraId="43F7AED2" w14:textId="55E249B9" w:rsidR="00E30299" w:rsidRPr="00E30299" w:rsidRDefault="008C7BFF" w:rsidP="009C65E9">
      <w:pPr>
        <w:pStyle w:val="Heading1"/>
        <w:numPr>
          <w:ilvl w:val="0"/>
          <w:numId w:val="19"/>
        </w:numPr>
        <w:spacing w:after="120" w:line="240" w:lineRule="auto"/>
        <w:ind w:left="360"/>
      </w:pPr>
      <w:r w:rsidRPr="000700C3">
        <w:t xml:space="preserve">Standard for Security Configurations, </w:t>
      </w:r>
      <w:r w:rsidR="00E30299">
        <w:t>F</w:t>
      </w:r>
      <w:r w:rsidR="00E30299" w:rsidRPr="000700C3">
        <w:t>AR</w:t>
      </w:r>
      <w:r w:rsidR="00E30299">
        <w:t>S</w:t>
      </w:r>
      <w:r w:rsidR="00E30299" w:rsidRPr="000700C3">
        <w:t xml:space="preserve"> </w:t>
      </w:r>
      <w:r w:rsidRPr="000700C3">
        <w:t>352.239-70, (January 2010)</w:t>
      </w:r>
      <w:r w:rsidR="009C65E9">
        <w:t xml:space="preserve">  </w:t>
      </w:r>
      <w:r w:rsidR="00E30299">
        <w:t xml:space="preserve">Found at: </w:t>
      </w:r>
      <w:hyperlink r:id="rId12" w:history="1">
        <w:r w:rsidR="00E30299" w:rsidRPr="009C65E9">
          <w:rPr>
            <w:rStyle w:val="Hyperlink"/>
            <w:rFonts w:cs="Arial"/>
          </w:rPr>
          <w:t>http://www.farsmarterbids.com/regs/fars/section.php?sectionID=03520239-70</w:t>
        </w:r>
      </w:hyperlink>
      <w:r w:rsidR="00E30299">
        <w:t xml:space="preserve"> </w:t>
      </w:r>
    </w:p>
    <w:p w14:paraId="2A79CADB"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configure its computers that contain HHS data with the applicable Federal Desktop Core Configuration (FDCC) (see</w:t>
      </w:r>
      <w:hyperlink r:id="rId13" w:tooltip="Link to the Federal Desktop Core Configuration (FDCC)" w:history="1">
        <w:r w:rsidRPr="000700C3">
          <w:rPr>
            <w:rFonts w:cstheme="minorHAnsi"/>
            <w:szCs w:val="24"/>
          </w:rPr>
          <w:t xml:space="preserve"> </w:t>
        </w:r>
        <w:r w:rsidRPr="000700C3">
          <w:rPr>
            <w:rStyle w:val="Hyperlink"/>
            <w:rFonts w:cstheme="minorHAnsi"/>
            <w:color w:val="2B60DE"/>
            <w:szCs w:val="24"/>
          </w:rPr>
          <w:t>http://nvd.nist.gov/fdcc/index.cfm</w:t>
        </w:r>
      </w:hyperlink>
      <w:r w:rsidRPr="000700C3">
        <w:rPr>
          <w:rFonts w:cstheme="minorHAnsi"/>
          <w:szCs w:val="24"/>
        </w:rPr>
        <w:t>) and ensure that its computers have and maintain the latest operating system patch level and anti-virus software level.</w:t>
      </w:r>
      <w:r w:rsidRPr="000700C3">
        <w:rPr>
          <w:rFonts w:cstheme="minorHAnsi"/>
          <w:szCs w:val="24"/>
        </w:rPr>
        <w:br/>
        <w:t>Note: FDCC is applicable to all computing systems using Windows XPTM and Windows VistaTM, including desktops and laptops - regardless of function - but not including servers.</w:t>
      </w:r>
    </w:p>
    <w:p w14:paraId="1D6806CE"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apply approved security configurations to information technology (IT) that is used to process information on behalf of HHS. The following security configuration requirements apply:  FDCC</w:t>
      </w:r>
    </w:p>
    <w:p w14:paraId="3AD9DF1C"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FDCC Scanner capability to ensure its products operate correctly with FDCC configurations and do not alter FDCC settings - see</w:t>
      </w:r>
      <w:hyperlink r:id="rId14" w:tooltip="Link to the FDCC Validation tool" w:history="1">
        <w:r w:rsidRPr="000700C3">
          <w:rPr>
            <w:rFonts w:cstheme="minorHAnsi"/>
            <w:szCs w:val="24"/>
          </w:rPr>
          <w:t xml:space="preserve"> </w:t>
        </w:r>
        <w:r w:rsidRPr="000700C3">
          <w:rPr>
            <w:rStyle w:val="Hyperlink"/>
            <w:rFonts w:cstheme="minorHAnsi"/>
            <w:color w:val="2B60DE"/>
            <w:szCs w:val="24"/>
          </w:rPr>
          <w:t>http://nvd.nist.gov/validation.cfm</w:t>
        </w:r>
        <w:r w:rsidRPr="000700C3">
          <w:rPr>
            <w:rFonts w:cstheme="minorHAnsi"/>
            <w:szCs w:val="24"/>
          </w:rPr>
          <w:t xml:space="preserve"> </w:t>
        </w:r>
      </w:hyperlink>
      <w:r w:rsidRPr="000700C3">
        <w:rPr>
          <w:rFonts w:cstheme="minorHAnsi"/>
          <w:szCs w:val="24"/>
        </w:rPr>
        <w:t>. The Contractor shall test applicable product versions with all relevant and current updates and patches installed. The Contractor shall ensure currently supported versions of information technology products met the latest FDCC major version and subsequent major versions.</w:t>
      </w:r>
    </w:p>
    <w:p w14:paraId="5350F995"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ensure IT applications designed for end users run in the standard user context without requiring elevated administrative privileges.</w:t>
      </w:r>
    </w:p>
    <w:p w14:paraId="64839CBF"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ensure hardware and software installation, operation, maintenance, update, and patching will not alter the configuration settings or requirements specified above.</w:t>
      </w:r>
    </w:p>
    <w:p w14:paraId="28214080" w14:textId="77777777" w:rsidR="008C7BFF" w:rsidRPr="000700C3"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(1) include Federal Information Processing Standard (FIPS) 201-compliant (</w:t>
      </w:r>
      <w:hyperlink r:id="rId15" w:tooltip="Link to information about FIPS 201 compliance" w:history="1">
        <w:r w:rsidR="006978FC" w:rsidRPr="00C32A67">
          <w:rPr>
            <w:rStyle w:val="Hyperlink"/>
            <w:rFonts w:cstheme="minorHAnsi"/>
            <w:szCs w:val="24"/>
          </w:rPr>
          <w:t>http://csrc.nist.gov/publications/fips/fips201-1/FIPS-201-1-chng1.pdf</w:t>
        </w:r>
      </w:hyperlink>
      <w:r w:rsidRPr="000700C3">
        <w:rPr>
          <w:rFonts w:cstheme="minorHAnsi"/>
          <w:szCs w:val="24"/>
        </w:rPr>
        <w:t>), Homeland Security Presidential Directive 12 (HSPD-12) card readers with the purchase of servers, desktops, and laptops; and (2) comply with FAR Subpart 4.13, Personal Identity Verification.</w:t>
      </w:r>
    </w:p>
    <w:p w14:paraId="1EB444AB" w14:textId="77777777" w:rsidR="00EA13BC" w:rsidRDefault="008C7BFF" w:rsidP="00BF669A">
      <w:pPr>
        <w:numPr>
          <w:ilvl w:val="3"/>
          <w:numId w:val="18"/>
        </w:numPr>
        <w:tabs>
          <w:tab w:val="clear" w:pos="3600"/>
        </w:tabs>
        <w:spacing w:after="120" w:line="240" w:lineRule="auto"/>
        <w:ind w:left="720"/>
        <w:rPr>
          <w:rFonts w:cstheme="minorHAnsi"/>
          <w:szCs w:val="24"/>
        </w:rPr>
      </w:pPr>
      <w:r w:rsidRPr="000700C3">
        <w:rPr>
          <w:rFonts w:cstheme="minorHAnsi"/>
          <w:szCs w:val="24"/>
        </w:rPr>
        <w:t>The Contractor shall ensure that its subcontractors (at all tiers) which perform work under this contract comply with the requirements contained in this clause.</w:t>
      </w:r>
    </w:p>
    <w:p w14:paraId="04BB299E" w14:textId="77777777" w:rsidR="008C7BFF" w:rsidRPr="000700C3" w:rsidRDefault="00EA13BC" w:rsidP="00BF669A">
      <w:pPr>
        <w:spacing w:after="120" w:line="240" w:lineRule="auto"/>
        <w:ind w:left="720"/>
        <w:jc w:val="center"/>
        <w:rPr>
          <w:rFonts w:cstheme="minorHAnsi"/>
          <w:szCs w:val="24"/>
        </w:rPr>
      </w:pPr>
      <w:r>
        <w:rPr>
          <w:rFonts w:cstheme="minorHAnsi"/>
          <w:szCs w:val="24"/>
        </w:rPr>
        <w:t>(End of Clause)</w:t>
      </w:r>
      <w:r w:rsidR="008C7BFF" w:rsidRPr="000700C3">
        <w:rPr>
          <w:rFonts w:cstheme="minorHAnsi"/>
          <w:szCs w:val="24"/>
        </w:rPr>
        <w:br/>
      </w:r>
    </w:p>
    <w:p w14:paraId="1B384F8B" w14:textId="18334FBD" w:rsidR="008C7BFF" w:rsidRPr="000700C3" w:rsidRDefault="008C7BFF" w:rsidP="00BF669A">
      <w:pPr>
        <w:pStyle w:val="Heading1"/>
        <w:numPr>
          <w:ilvl w:val="0"/>
          <w:numId w:val="19"/>
        </w:numPr>
        <w:spacing w:after="120" w:line="240" w:lineRule="auto"/>
        <w:ind w:left="360"/>
      </w:pPr>
      <w:r w:rsidRPr="000700C3">
        <w:lastRenderedPageBreak/>
        <w:t xml:space="preserve">Security Requirements For Federal Information Technology Resources, </w:t>
      </w:r>
      <w:r w:rsidR="009C65E9">
        <w:t>FARS</w:t>
      </w:r>
      <w:r w:rsidR="009C65E9" w:rsidRPr="000700C3">
        <w:t xml:space="preserve"> </w:t>
      </w:r>
      <w:r w:rsidRPr="000700C3">
        <w:t>352.239-72, (January 2010)</w:t>
      </w:r>
      <w:r w:rsidR="009C65E9">
        <w:t xml:space="preserve">  Found at: </w:t>
      </w:r>
      <w:hyperlink r:id="rId16" w:history="1">
        <w:r w:rsidR="00FA4D23" w:rsidRPr="00CF576F">
          <w:rPr>
            <w:rStyle w:val="Hyperlink"/>
            <w:rFonts w:cstheme="majorBidi"/>
          </w:rPr>
          <w:t>http://www.farsmarterbids.com/regs/fars/section.php?sectionID=03520239-72</w:t>
        </w:r>
      </w:hyperlink>
      <w:r w:rsidR="00FA4D23">
        <w:t xml:space="preserve"> </w:t>
      </w:r>
    </w:p>
    <w:p w14:paraId="5A50435D" w14:textId="77777777" w:rsidR="008C7BFF" w:rsidRPr="00F96F29" w:rsidRDefault="008C7BFF" w:rsidP="00BF669A">
      <w:pPr>
        <w:numPr>
          <w:ilvl w:val="1"/>
          <w:numId w:val="9"/>
        </w:numPr>
        <w:tabs>
          <w:tab w:val="clear" w:pos="1440"/>
        </w:tabs>
        <w:spacing w:after="120" w:line="240" w:lineRule="auto"/>
        <w:ind w:left="720"/>
        <w:rPr>
          <w:rFonts w:cstheme="minorHAnsi"/>
          <w:szCs w:val="24"/>
        </w:rPr>
      </w:pPr>
      <w:r w:rsidRPr="00F96F29">
        <w:rPr>
          <w:rFonts w:cstheme="minorHAnsi"/>
          <w:b/>
          <w:szCs w:val="24"/>
        </w:rPr>
        <w:t>Applicability</w:t>
      </w:r>
      <w:r w:rsidRPr="00F96F29">
        <w:rPr>
          <w:rFonts w:cstheme="minorHAnsi"/>
          <w:szCs w:val="24"/>
        </w:rPr>
        <w:t>.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14:paraId="543525A5" w14:textId="77777777" w:rsidR="008C7BFF" w:rsidRPr="000700C3" w:rsidRDefault="008C7BFF" w:rsidP="00BF669A">
      <w:pPr>
        <w:numPr>
          <w:ilvl w:val="1"/>
          <w:numId w:val="9"/>
        </w:numPr>
        <w:tabs>
          <w:tab w:val="clear" w:pos="1440"/>
        </w:tabs>
        <w:spacing w:after="120" w:line="240" w:lineRule="auto"/>
        <w:ind w:left="720"/>
        <w:rPr>
          <w:rFonts w:cstheme="minorHAnsi"/>
          <w:szCs w:val="24"/>
        </w:rPr>
      </w:pPr>
      <w:r w:rsidRPr="000700C3">
        <w:rPr>
          <w:rFonts w:cstheme="minorHAnsi"/>
          <w:b/>
          <w:szCs w:val="24"/>
        </w:rPr>
        <w:t>Contractor responsibilities</w:t>
      </w:r>
      <w:r w:rsidRPr="000700C3">
        <w:rPr>
          <w:rFonts w:cstheme="minorHAnsi"/>
          <w:szCs w:val="24"/>
        </w:rPr>
        <w:t>. The Contractor is responsible for the following:</w:t>
      </w:r>
    </w:p>
    <w:p w14:paraId="15F20323" w14:textId="77777777" w:rsidR="008C7BFF" w:rsidRPr="000700C3" w:rsidRDefault="008C7BFF" w:rsidP="00BF669A">
      <w:pPr>
        <w:pStyle w:val="ListParagraph"/>
        <w:numPr>
          <w:ilvl w:val="0"/>
          <w:numId w:val="10"/>
        </w:numPr>
        <w:tabs>
          <w:tab w:val="clear" w:pos="360"/>
        </w:tabs>
        <w:spacing w:after="120" w:line="240" w:lineRule="auto"/>
        <w:ind w:left="1080"/>
        <w:rPr>
          <w:rFonts w:cstheme="minorHAnsi"/>
          <w:szCs w:val="24"/>
        </w:rPr>
      </w:pPr>
      <w:r w:rsidRPr="000700C3">
        <w:rPr>
          <w:rFonts w:cstheme="minorHAnsi"/>
          <w:szCs w:val="24"/>
        </w:rPr>
        <w:t>Protecting Federal information and Federal information systems in order to ensure their -</w:t>
      </w:r>
    </w:p>
    <w:p w14:paraId="006F012D" w14:textId="77777777" w:rsidR="008C7BFF" w:rsidRPr="000700C3" w:rsidRDefault="008C7BFF" w:rsidP="00BF669A">
      <w:pPr>
        <w:numPr>
          <w:ilvl w:val="1"/>
          <w:numId w:val="10"/>
        </w:numPr>
        <w:tabs>
          <w:tab w:val="num" w:pos="1440"/>
          <w:tab w:val="num" w:pos="2160"/>
        </w:tabs>
        <w:spacing w:after="120" w:line="240" w:lineRule="auto"/>
        <w:ind w:left="1440"/>
        <w:rPr>
          <w:rFonts w:cstheme="minorHAnsi"/>
          <w:szCs w:val="24"/>
        </w:rPr>
      </w:pPr>
      <w:r w:rsidRPr="000700C3">
        <w:rPr>
          <w:rFonts w:cstheme="minorHAnsi"/>
          <w:szCs w:val="24"/>
        </w:rPr>
        <w:t>Integrity, which means guarding against improper information modification or destruction, and includes ensuring information non-repudiation and authenticity;</w:t>
      </w:r>
    </w:p>
    <w:p w14:paraId="3D8CDC50" w14:textId="77777777" w:rsidR="008C7BFF" w:rsidRPr="000700C3" w:rsidRDefault="008C7BFF" w:rsidP="00BF669A">
      <w:pPr>
        <w:numPr>
          <w:ilvl w:val="1"/>
          <w:numId w:val="10"/>
        </w:numPr>
        <w:spacing w:after="120" w:line="240" w:lineRule="auto"/>
        <w:ind w:left="1440"/>
        <w:rPr>
          <w:rFonts w:cstheme="minorHAnsi"/>
          <w:szCs w:val="24"/>
        </w:rPr>
      </w:pPr>
      <w:r w:rsidRPr="000700C3">
        <w:rPr>
          <w:rFonts w:cstheme="minorHAnsi"/>
          <w:szCs w:val="24"/>
        </w:rPr>
        <w:t>Confidentiality, which means preserving authorized restrictions on access and disclosure, including means for protecting personal privacy and proprietary information; and</w:t>
      </w:r>
    </w:p>
    <w:p w14:paraId="5FECAF0C" w14:textId="77777777" w:rsidR="008C7BFF" w:rsidRPr="000700C3" w:rsidRDefault="008C7BFF" w:rsidP="00BF669A">
      <w:pPr>
        <w:numPr>
          <w:ilvl w:val="1"/>
          <w:numId w:val="10"/>
        </w:numPr>
        <w:spacing w:after="120" w:line="240" w:lineRule="auto"/>
        <w:ind w:left="1440"/>
        <w:rPr>
          <w:rFonts w:cstheme="minorHAnsi"/>
          <w:szCs w:val="24"/>
        </w:rPr>
      </w:pPr>
      <w:r w:rsidRPr="000700C3">
        <w:rPr>
          <w:rFonts w:cstheme="minorHAnsi"/>
          <w:szCs w:val="24"/>
        </w:rPr>
        <w:t>Availability, which means ensuring timely and reliable access to and use of information.</w:t>
      </w:r>
    </w:p>
    <w:p w14:paraId="16043754" w14:textId="77777777" w:rsidR="008C7BFF" w:rsidRPr="000700C3" w:rsidRDefault="008C7BFF" w:rsidP="00BF669A">
      <w:pPr>
        <w:numPr>
          <w:ilvl w:val="0"/>
          <w:numId w:val="10"/>
        </w:numPr>
        <w:tabs>
          <w:tab w:val="clear" w:pos="360"/>
        </w:tabs>
        <w:spacing w:after="120" w:line="240" w:lineRule="auto"/>
        <w:ind w:left="1080"/>
        <w:rPr>
          <w:rFonts w:cstheme="minorHAnsi"/>
          <w:szCs w:val="24"/>
        </w:rPr>
      </w:pPr>
      <w:r w:rsidRPr="000700C3">
        <w:rPr>
          <w:rFonts w:cstheme="minorHAnsi"/>
          <w:szCs w:val="24"/>
        </w:rPr>
        <w:t>Providing security of any Contractor systems, and information contained therein, connected to an HHS network or operated by the Contractor, regardless of location, on behalf of HHS.</w:t>
      </w:r>
    </w:p>
    <w:p w14:paraId="3ACB4E6F" w14:textId="77777777" w:rsidR="008C7BFF" w:rsidRPr="000700C3" w:rsidRDefault="008C7BFF" w:rsidP="00BF669A">
      <w:pPr>
        <w:numPr>
          <w:ilvl w:val="0"/>
          <w:numId w:val="10"/>
        </w:numPr>
        <w:tabs>
          <w:tab w:val="clear" w:pos="360"/>
        </w:tabs>
        <w:spacing w:after="120" w:line="240" w:lineRule="auto"/>
        <w:ind w:left="1080"/>
        <w:rPr>
          <w:rFonts w:cstheme="minorHAnsi"/>
          <w:szCs w:val="24"/>
        </w:rPr>
      </w:pPr>
      <w:r w:rsidRPr="000700C3">
        <w:rPr>
          <w:rFonts w:cstheme="minorHAnsi"/>
          <w:szCs w:val="24"/>
        </w:rPr>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14:paraId="248CC5A7" w14:textId="77777777" w:rsidR="008C7BFF" w:rsidRPr="000700C3" w:rsidRDefault="008C7BFF" w:rsidP="00BF669A">
      <w:pPr>
        <w:numPr>
          <w:ilvl w:val="0"/>
          <w:numId w:val="11"/>
        </w:numPr>
        <w:tabs>
          <w:tab w:val="clear" w:pos="360"/>
        </w:tabs>
        <w:spacing w:after="120" w:line="240" w:lineRule="auto"/>
        <w:ind w:left="720"/>
        <w:rPr>
          <w:rFonts w:cstheme="minorHAnsi"/>
          <w:szCs w:val="24"/>
        </w:rPr>
      </w:pPr>
      <w:r w:rsidRPr="000700C3">
        <w:rPr>
          <w:rFonts w:cstheme="minorHAnsi"/>
          <w:b/>
          <w:szCs w:val="24"/>
        </w:rPr>
        <w:t>Contractor security deliverables</w:t>
      </w:r>
      <w:r w:rsidRPr="000700C3">
        <w:rPr>
          <w:rFonts w:cstheme="minorHAnsi"/>
          <w:szCs w:val="24"/>
        </w:rPr>
        <w:t>. In accordance with the timeframes specified, the Contractor shall prepare and submit the following security documents to the Contracting Officer for review, comment, and acceptance:</w:t>
      </w:r>
    </w:p>
    <w:p w14:paraId="47875C87" w14:textId="77777777" w:rsidR="008C7BFF" w:rsidRPr="000700C3" w:rsidRDefault="008C7BFF" w:rsidP="00BF669A">
      <w:pPr>
        <w:numPr>
          <w:ilvl w:val="1"/>
          <w:numId w:val="11"/>
        </w:numPr>
        <w:spacing w:after="120" w:line="240" w:lineRule="auto"/>
        <w:rPr>
          <w:rFonts w:cstheme="minorHAnsi"/>
          <w:szCs w:val="24"/>
        </w:rPr>
      </w:pPr>
      <w:r w:rsidRPr="000700C3">
        <w:rPr>
          <w:rFonts w:cstheme="minorHAnsi"/>
          <w:b/>
          <w:szCs w:val="24"/>
        </w:rPr>
        <w:t>IT Security Plan (IT-SP)</w:t>
      </w:r>
      <w:r w:rsidRPr="000700C3">
        <w:rPr>
          <w:rFonts w:cstheme="minorHAnsi"/>
          <w:szCs w:val="24"/>
        </w:rP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14:paraId="2EF57E1C" w14:textId="77777777" w:rsidR="008C7BFF" w:rsidRPr="000700C3" w:rsidRDefault="008C7BFF" w:rsidP="00BF669A">
      <w:pPr>
        <w:pStyle w:val="ListParagraph"/>
        <w:numPr>
          <w:ilvl w:val="2"/>
          <w:numId w:val="11"/>
        </w:numPr>
        <w:tabs>
          <w:tab w:val="clear" w:pos="1800"/>
        </w:tabs>
        <w:spacing w:after="120" w:line="240" w:lineRule="auto"/>
        <w:ind w:left="1440"/>
        <w:rPr>
          <w:rFonts w:cstheme="minorHAnsi"/>
          <w:szCs w:val="24"/>
        </w:rPr>
      </w:pPr>
      <w:r w:rsidRPr="000700C3">
        <w:rPr>
          <w:rFonts w:cstheme="minorHAnsi"/>
          <w:szCs w:val="24"/>
        </w:rP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14:paraId="1AF3D490" w14:textId="77777777" w:rsidR="008C7BFF" w:rsidRPr="000700C3" w:rsidRDefault="008C7BFF" w:rsidP="00BF669A">
      <w:pPr>
        <w:pStyle w:val="ListParagraph"/>
        <w:numPr>
          <w:ilvl w:val="3"/>
          <w:numId w:val="11"/>
        </w:numPr>
        <w:tabs>
          <w:tab w:val="clear" w:pos="2520"/>
        </w:tabs>
        <w:spacing w:after="120" w:line="240" w:lineRule="auto"/>
        <w:ind w:left="1800"/>
        <w:rPr>
          <w:rFonts w:cstheme="minorHAnsi"/>
          <w:szCs w:val="24"/>
        </w:rPr>
      </w:pPr>
      <w:r w:rsidRPr="000700C3">
        <w:rPr>
          <w:rFonts w:cstheme="minorHAnsi"/>
          <w:szCs w:val="24"/>
        </w:rPr>
        <w:lastRenderedPageBreak/>
        <w:t>Office of Management and Budget (OMB) Circular A-130, Management of Federal Information Resources, Appendix III, Security of Federal Automation Information Resources.</w:t>
      </w:r>
    </w:p>
    <w:p w14:paraId="172E4A5E" w14:textId="77777777" w:rsidR="008C7BFF" w:rsidRPr="000700C3" w:rsidRDefault="008C7BFF" w:rsidP="00BF669A">
      <w:pPr>
        <w:pStyle w:val="ListParagraph"/>
        <w:numPr>
          <w:ilvl w:val="3"/>
          <w:numId w:val="11"/>
        </w:numPr>
        <w:tabs>
          <w:tab w:val="clear" w:pos="2520"/>
        </w:tabs>
        <w:spacing w:after="120" w:line="240" w:lineRule="auto"/>
        <w:ind w:left="1800"/>
        <w:rPr>
          <w:rFonts w:cstheme="minorHAnsi"/>
          <w:szCs w:val="24"/>
        </w:rPr>
      </w:pPr>
      <w:r w:rsidRPr="000700C3">
        <w:rPr>
          <w:rFonts w:cstheme="minorHAnsi"/>
          <w:szCs w:val="24"/>
        </w:rP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14:paraId="65E7B883" w14:textId="615E337F" w:rsidR="008C7BFF" w:rsidRPr="00CC1423" w:rsidRDefault="008C7BFF" w:rsidP="00BF669A">
      <w:pPr>
        <w:pStyle w:val="ListParagraph"/>
        <w:numPr>
          <w:ilvl w:val="3"/>
          <w:numId w:val="11"/>
        </w:numPr>
        <w:tabs>
          <w:tab w:val="clear" w:pos="2520"/>
        </w:tabs>
        <w:spacing w:after="120" w:line="240" w:lineRule="auto"/>
        <w:ind w:left="1800"/>
        <w:rPr>
          <w:rFonts w:cstheme="minorHAnsi"/>
          <w:szCs w:val="24"/>
        </w:rPr>
      </w:pPr>
      <w:r w:rsidRPr="00CC1423">
        <w:rPr>
          <w:rFonts w:cstheme="minorHAnsi"/>
          <w:szCs w:val="24"/>
        </w:rPr>
        <w:t>HHS-OCIO Information Systems Security and Privacy Policy.</w:t>
      </w:r>
      <w:r w:rsidR="007F5868" w:rsidRPr="00CC1423">
        <w:rPr>
          <w:rFonts w:cstheme="minorHAnsi"/>
          <w:szCs w:val="24"/>
        </w:rPr>
        <w:t xml:space="preserve">  </w:t>
      </w:r>
      <w:r w:rsidR="007F5868" w:rsidRPr="00CC1423">
        <w:rPr>
          <w:rFonts w:cstheme="minorHAnsi"/>
          <w:color w:val="000000"/>
          <w:szCs w:val="24"/>
          <w:shd w:val="clear" w:color="auto" w:fill="FFFFFF"/>
        </w:rPr>
        <w:t>After resolution of any comments provided by the Government on the draft IT-SP, the Contracting Officer shall accept the IT-SP and incorporate the Contractor's final version into the contract for Contractor implementation and maintenance. On an annual basis, the Contractor shall provide to the Contracting Officer verification that the IT-SP remains valid.</w:t>
      </w:r>
    </w:p>
    <w:p w14:paraId="059E548F" w14:textId="77777777" w:rsidR="008C7BFF" w:rsidRPr="000700C3" w:rsidRDefault="008C7BFF" w:rsidP="00BF669A">
      <w:pPr>
        <w:numPr>
          <w:ilvl w:val="0"/>
          <w:numId w:val="12"/>
        </w:numPr>
        <w:spacing w:after="120" w:line="240" w:lineRule="auto"/>
        <w:rPr>
          <w:rFonts w:cstheme="minorHAnsi"/>
          <w:szCs w:val="24"/>
        </w:rPr>
      </w:pPr>
      <w:r w:rsidRPr="000700C3">
        <w:rPr>
          <w:rFonts w:cstheme="minorHAnsi"/>
          <w:szCs w:val="24"/>
        </w:rPr>
        <w:t xml:space="preserve"> </w:t>
      </w:r>
      <w:r w:rsidRPr="000700C3">
        <w:rPr>
          <w:rFonts w:cstheme="minorHAnsi"/>
          <w:b/>
          <w:szCs w:val="24"/>
        </w:rPr>
        <w:t>IT Risk Assessment (IT-RA)</w:t>
      </w:r>
      <w:r w:rsidRPr="000700C3">
        <w:rPr>
          <w:rFonts w:cstheme="minorHAnsi"/>
          <w:szCs w:val="24"/>
        </w:rP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14:paraId="261E92B2" w14:textId="77777777" w:rsidR="008C7BFF" w:rsidRPr="000700C3" w:rsidRDefault="008C7BFF" w:rsidP="00BF669A">
      <w:pPr>
        <w:numPr>
          <w:ilvl w:val="0"/>
          <w:numId w:val="12"/>
        </w:numPr>
        <w:spacing w:after="120" w:line="240" w:lineRule="auto"/>
        <w:rPr>
          <w:rFonts w:cstheme="minorHAnsi"/>
          <w:szCs w:val="24"/>
        </w:rPr>
      </w:pPr>
      <w:r w:rsidRPr="000700C3">
        <w:rPr>
          <w:rFonts w:cstheme="minorHAnsi"/>
          <w:b/>
          <w:szCs w:val="24"/>
        </w:rPr>
        <w:t>FIPS 199 Standards for Security Categorization of Federal Information and Information Systems Assessment (FIPS 199 Assessment)</w:t>
      </w:r>
      <w:r w:rsidRPr="000700C3">
        <w:rPr>
          <w:rFonts w:cstheme="minorHAnsi"/>
          <w:szCs w:val="24"/>
        </w:rPr>
        <w:t xml:space="preserve"> - due within 30 days after contract award. The FIPS 199 Assessment shall be consistent with the cited NIST standard. After resolution of any comments by the Government on the draft FIPS 199 Assessment, the Contracting Officer shall accept the FIPS 199 Assessment and incorporate the Contractor's final version into the contract.</w:t>
      </w:r>
    </w:p>
    <w:p w14:paraId="7DEE7899" w14:textId="77777777" w:rsidR="008C7BFF" w:rsidRPr="000700C3" w:rsidRDefault="008C7BFF" w:rsidP="00BF669A">
      <w:pPr>
        <w:numPr>
          <w:ilvl w:val="0"/>
          <w:numId w:val="12"/>
        </w:numPr>
        <w:spacing w:after="120" w:line="240" w:lineRule="auto"/>
        <w:rPr>
          <w:rFonts w:cstheme="minorHAnsi"/>
          <w:szCs w:val="24"/>
        </w:rPr>
      </w:pPr>
      <w:r w:rsidRPr="000700C3">
        <w:rPr>
          <w:rFonts w:cstheme="minorHAnsi"/>
          <w:b/>
          <w:szCs w:val="24"/>
        </w:rPr>
        <w:t>IT Security Certification and Accreditation (IT-SC&amp;A)</w:t>
      </w:r>
      <w:r w:rsidRPr="000700C3">
        <w:rPr>
          <w:rFonts w:cstheme="minorHAnsi"/>
          <w:szCs w:val="24"/>
        </w:rP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14:paraId="40957FCA" w14:textId="77777777" w:rsidR="008C7BFF" w:rsidRPr="000700C3" w:rsidRDefault="008C7BFF" w:rsidP="002D3F08">
      <w:pPr>
        <w:pStyle w:val="ListParagraph"/>
        <w:numPr>
          <w:ilvl w:val="0"/>
          <w:numId w:val="20"/>
        </w:numPr>
        <w:spacing w:after="120" w:line="240" w:lineRule="auto"/>
        <w:rPr>
          <w:rFonts w:cstheme="minorHAnsi"/>
          <w:szCs w:val="24"/>
        </w:rPr>
      </w:pPr>
      <w:r w:rsidRPr="000700C3">
        <w:rPr>
          <w:rFonts w:cstheme="minorHAnsi"/>
          <w:szCs w:val="24"/>
        </w:rPr>
        <w:t>After resolution of any comments provided by the Government on the draft IT SC&amp;A, the Contracting Officer shall accept the IT-SC&amp;A and incorporate the Contractor's final version into the contract as a compliance requirement.</w:t>
      </w:r>
    </w:p>
    <w:p w14:paraId="42544C1D" w14:textId="77777777" w:rsidR="008C7BFF" w:rsidRPr="000700C3" w:rsidRDefault="008C7BFF" w:rsidP="002D3F08">
      <w:pPr>
        <w:pStyle w:val="ListParagraph"/>
        <w:numPr>
          <w:ilvl w:val="0"/>
          <w:numId w:val="20"/>
        </w:numPr>
        <w:spacing w:after="120" w:line="240" w:lineRule="auto"/>
        <w:rPr>
          <w:rFonts w:cstheme="minorHAnsi"/>
          <w:szCs w:val="24"/>
        </w:rPr>
      </w:pPr>
      <w:r w:rsidRPr="000700C3">
        <w:rPr>
          <w:rFonts w:cstheme="minorHAnsi"/>
          <w:szCs w:val="24"/>
        </w:rPr>
        <w:lastRenderedPageBreak/>
        <w:t>The Contractor shall also perform an annual security control assessment and provide to the Contracting Officer verification that the IT-SC&amp;A remains valid.  Evidence of a valid system accreditation includes written results of:</w:t>
      </w:r>
    </w:p>
    <w:p w14:paraId="36F8C54F" w14:textId="77777777" w:rsidR="008C7BFF" w:rsidRPr="000700C3" w:rsidRDefault="008C7BFF" w:rsidP="00BF669A">
      <w:pPr>
        <w:pStyle w:val="ListParagraph"/>
        <w:numPr>
          <w:ilvl w:val="1"/>
          <w:numId w:val="7"/>
        </w:numPr>
        <w:tabs>
          <w:tab w:val="clear" w:pos="1440"/>
          <w:tab w:val="left" w:pos="1800"/>
        </w:tabs>
        <w:spacing w:after="120" w:line="240" w:lineRule="auto"/>
        <w:ind w:firstLine="0"/>
        <w:rPr>
          <w:rFonts w:cstheme="minorHAnsi"/>
          <w:szCs w:val="24"/>
        </w:rPr>
      </w:pPr>
      <w:r w:rsidRPr="000700C3">
        <w:rPr>
          <w:rFonts w:cstheme="minorHAnsi"/>
          <w:szCs w:val="24"/>
        </w:rPr>
        <w:t>Annual testing of the system contingency plan; and</w:t>
      </w:r>
    </w:p>
    <w:p w14:paraId="00B63A33" w14:textId="77777777" w:rsidR="008C7BFF" w:rsidRPr="000700C3" w:rsidRDefault="008C7BFF" w:rsidP="00BF669A">
      <w:pPr>
        <w:pStyle w:val="ListParagraph"/>
        <w:numPr>
          <w:ilvl w:val="1"/>
          <w:numId w:val="7"/>
        </w:numPr>
        <w:tabs>
          <w:tab w:val="clear" w:pos="1440"/>
          <w:tab w:val="left" w:pos="1800"/>
        </w:tabs>
        <w:spacing w:after="120" w:line="240" w:lineRule="auto"/>
        <w:ind w:firstLine="0"/>
        <w:rPr>
          <w:rFonts w:cstheme="minorHAnsi"/>
          <w:szCs w:val="24"/>
        </w:rPr>
      </w:pPr>
      <w:r w:rsidRPr="000700C3">
        <w:rPr>
          <w:rFonts w:cstheme="minorHAnsi"/>
          <w:szCs w:val="24"/>
        </w:rPr>
        <w:t>The performance of security control testing and evaluation.</w:t>
      </w:r>
    </w:p>
    <w:p w14:paraId="69E3697A" w14:textId="77777777" w:rsidR="008C7BFF" w:rsidRPr="000700C3" w:rsidRDefault="008C7BFF" w:rsidP="00BF669A">
      <w:pPr>
        <w:numPr>
          <w:ilvl w:val="0"/>
          <w:numId w:val="11"/>
        </w:numPr>
        <w:tabs>
          <w:tab w:val="clear" w:pos="360"/>
        </w:tabs>
        <w:spacing w:after="120" w:line="240" w:lineRule="auto"/>
        <w:ind w:left="720"/>
        <w:rPr>
          <w:rFonts w:cstheme="minorHAnsi"/>
          <w:szCs w:val="24"/>
        </w:rPr>
      </w:pPr>
      <w:r w:rsidRPr="000700C3">
        <w:rPr>
          <w:rFonts w:cstheme="minorHAnsi"/>
          <w:szCs w:val="24"/>
        </w:rPr>
        <w:t xml:space="preserve"> </w:t>
      </w:r>
      <w:r w:rsidRPr="000700C3">
        <w:rPr>
          <w:rFonts w:cstheme="minorHAnsi"/>
          <w:b/>
          <w:szCs w:val="24"/>
        </w:rPr>
        <w:t>Personal identity verification</w:t>
      </w:r>
      <w:r w:rsidRPr="000700C3">
        <w:rPr>
          <w:rFonts w:cstheme="minorHAnsi"/>
          <w:szCs w:val="24"/>
        </w:rPr>
        <w:t>. The Contractor shall identify its employees with access to systems operated by the Contractor for HHS or connected to HHS systems and networks. The Contracting Officer's Technical Representative (COTR)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14:paraId="54525AF1" w14:textId="77777777" w:rsidR="008C7BFF" w:rsidRPr="000700C3" w:rsidRDefault="008C7BFF" w:rsidP="00BF669A">
      <w:pPr>
        <w:numPr>
          <w:ilvl w:val="0"/>
          <w:numId w:val="11"/>
        </w:numPr>
        <w:tabs>
          <w:tab w:val="clear" w:pos="360"/>
          <w:tab w:val="num" w:pos="720"/>
        </w:tabs>
        <w:spacing w:after="120" w:line="240" w:lineRule="auto"/>
        <w:ind w:left="720"/>
        <w:rPr>
          <w:rFonts w:cstheme="minorHAnsi"/>
          <w:szCs w:val="24"/>
        </w:rPr>
      </w:pPr>
      <w:r w:rsidRPr="000700C3">
        <w:rPr>
          <w:rFonts w:cstheme="minorHAnsi"/>
          <w:b/>
          <w:szCs w:val="24"/>
        </w:rPr>
        <w:t>Contractor and subcontractor employee training</w:t>
      </w:r>
      <w:r w:rsidRPr="000700C3">
        <w:rPr>
          <w:rFonts w:cstheme="minorHAnsi"/>
          <w:szCs w:val="24"/>
        </w:rPr>
        <w:t>.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COTR evidencing that Contractor employees have completed the required training.</w:t>
      </w:r>
    </w:p>
    <w:p w14:paraId="7677AAE3" w14:textId="77777777" w:rsidR="008C7BFF" w:rsidRPr="000700C3" w:rsidRDefault="008C7BFF" w:rsidP="00CC1423">
      <w:pPr>
        <w:numPr>
          <w:ilvl w:val="0"/>
          <w:numId w:val="11"/>
        </w:numPr>
        <w:tabs>
          <w:tab w:val="clear" w:pos="360"/>
          <w:tab w:val="num" w:pos="720"/>
        </w:tabs>
        <w:spacing w:after="120" w:line="240" w:lineRule="auto"/>
        <w:ind w:left="720"/>
        <w:rPr>
          <w:rFonts w:cstheme="minorHAnsi"/>
          <w:szCs w:val="24"/>
        </w:rPr>
      </w:pPr>
      <w:r w:rsidRPr="000700C3">
        <w:rPr>
          <w:rFonts w:cstheme="minorHAnsi"/>
          <w:b/>
          <w:szCs w:val="24"/>
        </w:rPr>
        <w:t>Government access for IT inspection</w:t>
      </w:r>
      <w:r w:rsidRPr="000700C3">
        <w:rPr>
          <w:rFonts w:cstheme="minorHAnsi"/>
          <w:szCs w:val="24"/>
        </w:rPr>
        <w:t>.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14:paraId="67E3B069" w14:textId="77777777" w:rsidR="008C7BFF" w:rsidRPr="000700C3" w:rsidRDefault="008C7BFF" w:rsidP="00CC1423">
      <w:pPr>
        <w:numPr>
          <w:ilvl w:val="0"/>
          <w:numId w:val="11"/>
        </w:numPr>
        <w:tabs>
          <w:tab w:val="clear" w:pos="360"/>
          <w:tab w:val="num" w:pos="720"/>
        </w:tabs>
        <w:spacing w:after="120" w:line="240" w:lineRule="auto"/>
        <w:ind w:left="720"/>
        <w:rPr>
          <w:rFonts w:cstheme="minorHAnsi"/>
          <w:szCs w:val="24"/>
        </w:rPr>
      </w:pPr>
      <w:r w:rsidRPr="000700C3">
        <w:rPr>
          <w:rFonts w:cstheme="minorHAnsi"/>
          <w:b/>
          <w:szCs w:val="24"/>
        </w:rPr>
        <w:t>Subcontracts</w:t>
      </w:r>
      <w:r w:rsidRPr="000700C3">
        <w:rPr>
          <w:rFonts w:cstheme="minorHAnsi"/>
          <w:szCs w:val="24"/>
        </w:rPr>
        <w:t>. The Contractor shall incorporate the substance of this clause in all subcontracts that require protection of Federal information and Federal information systems as described in paragraph (a) of this clause, including those subcontracts that -</w:t>
      </w:r>
    </w:p>
    <w:p w14:paraId="24F3A65B" w14:textId="77777777" w:rsidR="008C7BFF" w:rsidRPr="000700C3" w:rsidRDefault="008C7BFF" w:rsidP="00BF669A">
      <w:pPr>
        <w:pStyle w:val="ListParagraph"/>
        <w:numPr>
          <w:ilvl w:val="4"/>
          <w:numId w:val="8"/>
        </w:numPr>
        <w:tabs>
          <w:tab w:val="clear" w:pos="4320"/>
        </w:tabs>
        <w:spacing w:after="120" w:line="240" w:lineRule="auto"/>
        <w:ind w:left="1080"/>
        <w:rPr>
          <w:rFonts w:cstheme="minorHAnsi"/>
          <w:szCs w:val="24"/>
        </w:rPr>
      </w:pPr>
      <w:r w:rsidRPr="000700C3">
        <w:rPr>
          <w:rFonts w:cstheme="minorHAnsi"/>
          <w:szCs w:val="24"/>
        </w:rPr>
        <w:t>Have physical or electronic access to HHS' computer systems, networks, or IT infrastructure; or</w:t>
      </w:r>
    </w:p>
    <w:p w14:paraId="3241AE5A" w14:textId="0F3BFBF1" w:rsidR="008C7BFF" w:rsidRDefault="008C7BFF" w:rsidP="00BF669A">
      <w:pPr>
        <w:pStyle w:val="ListParagraph"/>
        <w:numPr>
          <w:ilvl w:val="4"/>
          <w:numId w:val="8"/>
        </w:numPr>
        <w:tabs>
          <w:tab w:val="clear" w:pos="4320"/>
        </w:tabs>
        <w:spacing w:after="120" w:line="240" w:lineRule="auto"/>
        <w:ind w:left="1080"/>
        <w:rPr>
          <w:rFonts w:cstheme="minorHAnsi"/>
          <w:szCs w:val="24"/>
        </w:rPr>
      </w:pPr>
      <w:r w:rsidRPr="000700C3">
        <w:rPr>
          <w:rFonts w:cstheme="minorHAnsi"/>
          <w:szCs w:val="24"/>
        </w:rPr>
        <w:t xml:space="preserve">Use information systems to generate, store, process, or exchange data with HHS or on behalf of HHS, regardless of whether the data resides on </w:t>
      </w:r>
      <w:proofErr w:type="gramStart"/>
      <w:r w:rsidRPr="000700C3">
        <w:rPr>
          <w:rFonts w:cstheme="minorHAnsi"/>
          <w:szCs w:val="24"/>
        </w:rPr>
        <w:t>a</w:t>
      </w:r>
      <w:proofErr w:type="gramEnd"/>
      <w:r w:rsidRPr="000700C3">
        <w:rPr>
          <w:rFonts w:cstheme="minorHAnsi"/>
          <w:szCs w:val="24"/>
        </w:rPr>
        <w:t xml:space="preserve"> HHS or the Contractor's information system.</w:t>
      </w:r>
    </w:p>
    <w:p w14:paraId="0B3D08B9" w14:textId="77777777" w:rsidR="00CC1423" w:rsidRPr="000700C3" w:rsidRDefault="00CC1423" w:rsidP="00CC1423">
      <w:pPr>
        <w:pStyle w:val="ListParagraph"/>
        <w:spacing w:after="120" w:line="240" w:lineRule="auto"/>
        <w:ind w:left="1080"/>
        <w:rPr>
          <w:rFonts w:cstheme="minorHAnsi"/>
          <w:szCs w:val="24"/>
        </w:rPr>
      </w:pPr>
    </w:p>
    <w:p w14:paraId="1CCA7C81" w14:textId="0548FEBB" w:rsidR="008C7BFF" w:rsidRDefault="008C7BFF" w:rsidP="00BF669A">
      <w:pPr>
        <w:pStyle w:val="ListParagraph"/>
        <w:numPr>
          <w:ilvl w:val="0"/>
          <w:numId w:val="13"/>
        </w:numPr>
        <w:tabs>
          <w:tab w:val="clear" w:pos="1440"/>
        </w:tabs>
        <w:spacing w:after="120" w:line="240" w:lineRule="auto"/>
        <w:ind w:left="720"/>
        <w:rPr>
          <w:rFonts w:cstheme="minorHAnsi"/>
          <w:szCs w:val="24"/>
        </w:rPr>
      </w:pPr>
      <w:r w:rsidRPr="000700C3">
        <w:rPr>
          <w:rFonts w:cstheme="minorHAnsi"/>
          <w:b/>
          <w:szCs w:val="24"/>
        </w:rPr>
        <w:t>Contractor employment notice</w:t>
      </w:r>
      <w:r w:rsidRPr="000700C3">
        <w:rPr>
          <w:rFonts w:cstheme="minorHAnsi"/>
          <w:szCs w:val="24"/>
        </w:rPr>
        <w:t>. The Contractor shall immediately notify the Contracting Officer when an employee either begins or terminates employment (or is no longer assigned to the HHS project under this contract), if that employee has, or had, access to HHS information systems or data.</w:t>
      </w:r>
    </w:p>
    <w:p w14:paraId="5C60F8F7" w14:textId="77777777" w:rsidR="00CC1423" w:rsidRPr="000700C3" w:rsidRDefault="00CC1423" w:rsidP="00CC1423">
      <w:pPr>
        <w:pStyle w:val="ListParagraph"/>
        <w:spacing w:after="120" w:line="240" w:lineRule="auto"/>
        <w:rPr>
          <w:rFonts w:cstheme="minorHAnsi"/>
          <w:szCs w:val="24"/>
        </w:rPr>
      </w:pPr>
    </w:p>
    <w:p w14:paraId="1F17111F" w14:textId="3F844F37" w:rsidR="008C7BFF" w:rsidRDefault="008C7BFF" w:rsidP="00BF669A">
      <w:pPr>
        <w:pStyle w:val="ListParagraph"/>
        <w:numPr>
          <w:ilvl w:val="0"/>
          <w:numId w:val="13"/>
        </w:numPr>
        <w:tabs>
          <w:tab w:val="clear" w:pos="1440"/>
        </w:tabs>
        <w:spacing w:after="120" w:line="240" w:lineRule="auto"/>
        <w:ind w:left="720"/>
        <w:rPr>
          <w:rFonts w:cstheme="minorHAnsi"/>
          <w:szCs w:val="24"/>
        </w:rPr>
      </w:pPr>
      <w:r w:rsidRPr="000700C3">
        <w:rPr>
          <w:rFonts w:cstheme="minorHAnsi"/>
          <w:b/>
          <w:szCs w:val="24"/>
        </w:rPr>
        <w:t>Document information</w:t>
      </w:r>
      <w:r w:rsidRPr="000700C3">
        <w:rPr>
          <w:rFonts w:cstheme="minorHAnsi"/>
          <w:szCs w:val="24"/>
        </w:rPr>
        <w:t>. The Contractor shall contact the Contracting Officer for any documents, information, or forms necessary to comply with the requirements of this clause.</w:t>
      </w:r>
    </w:p>
    <w:p w14:paraId="51DFB8B0" w14:textId="77777777" w:rsidR="00CC1423" w:rsidRPr="000700C3" w:rsidRDefault="00CC1423" w:rsidP="00CC1423">
      <w:pPr>
        <w:pStyle w:val="ListParagraph"/>
        <w:spacing w:after="120" w:line="240" w:lineRule="auto"/>
        <w:rPr>
          <w:rFonts w:cstheme="minorHAnsi"/>
          <w:szCs w:val="24"/>
        </w:rPr>
      </w:pPr>
    </w:p>
    <w:p w14:paraId="52F884D6" w14:textId="0EBD0B43" w:rsidR="008C7BFF" w:rsidRDefault="008C7BFF" w:rsidP="00BF669A">
      <w:pPr>
        <w:pStyle w:val="ListParagraph"/>
        <w:numPr>
          <w:ilvl w:val="0"/>
          <w:numId w:val="13"/>
        </w:numPr>
        <w:tabs>
          <w:tab w:val="clear" w:pos="1440"/>
        </w:tabs>
        <w:spacing w:after="120" w:line="240" w:lineRule="auto"/>
        <w:ind w:left="720"/>
        <w:rPr>
          <w:rFonts w:cstheme="minorHAnsi"/>
          <w:szCs w:val="24"/>
        </w:rPr>
      </w:pPr>
      <w:r w:rsidRPr="000700C3">
        <w:rPr>
          <w:rFonts w:cstheme="minorHAnsi"/>
          <w:b/>
          <w:szCs w:val="24"/>
        </w:rPr>
        <w:t>Contractor responsibilities upon physical completion of the contract</w:t>
      </w:r>
      <w:r w:rsidRPr="000700C3">
        <w:rPr>
          <w:rFonts w:cstheme="minorHAnsi"/>
          <w:szCs w:val="24"/>
        </w:rPr>
        <w:t>. The Contractor shall return all HHS information and IT resources provided to the Contractor during contract performance and certify that all HHS information has been purged from Contractor-owned systems used in contract performance.</w:t>
      </w:r>
    </w:p>
    <w:p w14:paraId="0565BC38" w14:textId="77777777" w:rsidR="00CC1423" w:rsidRPr="000700C3" w:rsidRDefault="00CC1423" w:rsidP="00CC1423">
      <w:pPr>
        <w:pStyle w:val="ListParagraph"/>
        <w:spacing w:after="120" w:line="240" w:lineRule="auto"/>
        <w:rPr>
          <w:rFonts w:cstheme="minorHAnsi"/>
          <w:szCs w:val="24"/>
        </w:rPr>
      </w:pPr>
    </w:p>
    <w:p w14:paraId="230CF6E3" w14:textId="2AF270A2" w:rsidR="000700C3" w:rsidRPr="00CC1423" w:rsidRDefault="008C7BFF" w:rsidP="00BF669A">
      <w:pPr>
        <w:pStyle w:val="ListParagraph"/>
        <w:numPr>
          <w:ilvl w:val="0"/>
          <w:numId w:val="13"/>
        </w:numPr>
        <w:tabs>
          <w:tab w:val="clear" w:pos="1440"/>
        </w:tabs>
        <w:spacing w:after="120" w:line="240" w:lineRule="auto"/>
        <w:ind w:left="720"/>
        <w:rPr>
          <w:rFonts w:cstheme="minorHAnsi"/>
          <w:b/>
          <w:szCs w:val="24"/>
        </w:rPr>
      </w:pPr>
      <w:r w:rsidRPr="00CC1423">
        <w:rPr>
          <w:rFonts w:cstheme="minorHAnsi"/>
          <w:b/>
          <w:szCs w:val="24"/>
        </w:rPr>
        <w:lastRenderedPageBreak/>
        <w:t>Failure</w:t>
      </w:r>
      <w:r w:rsidRPr="00F96F29">
        <w:rPr>
          <w:rFonts w:cstheme="minorHAnsi"/>
          <w:b/>
          <w:szCs w:val="24"/>
        </w:rPr>
        <w:t xml:space="preserve"> to comply</w:t>
      </w:r>
      <w:r w:rsidRPr="00F96F29">
        <w:rPr>
          <w:rFonts w:cstheme="minorHAnsi"/>
          <w:szCs w:val="24"/>
        </w:rPr>
        <w:t>. Failure on the part of the Contractor or its subcontractors to comply with the terms of this clause shall be grounds for the Contracting Officer to terminate this contract.</w:t>
      </w:r>
    </w:p>
    <w:p w14:paraId="31D7CAD9" w14:textId="77777777" w:rsidR="00CC1423" w:rsidRPr="00F96F29" w:rsidRDefault="00CC1423" w:rsidP="00CC1423">
      <w:pPr>
        <w:pStyle w:val="ListParagraph"/>
        <w:spacing w:after="120" w:line="240" w:lineRule="auto"/>
        <w:rPr>
          <w:rFonts w:cstheme="minorHAnsi"/>
          <w:b/>
          <w:szCs w:val="24"/>
        </w:rPr>
      </w:pPr>
    </w:p>
    <w:p w14:paraId="43682095" w14:textId="77777777" w:rsidR="000700C3" w:rsidRPr="000700C3" w:rsidRDefault="000700C3" w:rsidP="00BF669A">
      <w:pPr>
        <w:pStyle w:val="ListParagraph"/>
        <w:spacing w:after="120" w:line="240" w:lineRule="auto"/>
        <w:jc w:val="center"/>
        <w:rPr>
          <w:rFonts w:cstheme="minorHAnsi"/>
          <w:szCs w:val="24"/>
        </w:rPr>
      </w:pPr>
      <w:r w:rsidRPr="000700C3">
        <w:rPr>
          <w:rFonts w:cstheme="minorHAnsi"/>
          <w:szCs w:val="24"/>
        </w:rPr>
        <w:t>(End of Clause)</w:t>
      </w:r>
    </w:p>
    <w:p w14:paraId="0CB6BDDD" w14:textId="77777777" w:rsidR="000700C3" w:rsidRPr="000700C3" w:rsidRDefault="000700C3" w:rsidP="00BF669A">
      <w:pPr>
        <w:pStyle w:val="ListParagraph"/>
        <w:spacing w:after="120" w:line="240" w:lineRule="auto"/>
        <w:jc w:val="center"/>
        <w:rPr>
          <w:rFonts w:cstheme="minorHAnsi"/>
          <w:szCs w:val="24"/>
        </w:rPr>
      </w:pPr>
    </w:p>
    <w:p w14:paraId="599E7092" w14:textId="77777777" w:rsidR="000700C3" w:rsidRPr="000700C3" w:rsidRDefault="000700C3" w:rsidP="00BF669A">
      <w:pPr>
        <w:pStyle w:val="ListParagraph"/>
        <w:spacing w:after="120" w:line="240" w:lineRule="auto"/>
        <w:ind w:left="360"/>
        <w:rPr>
          <w:rFonts w:cstheme="minorHAnsi"/>
          <w:szCs w:val="24"/>
        </w:rPr>
      </w:pPr>
      <w:r w:rsidRPr="000700C3">
        <w:rPr>
          <w:rFonts w:cstheme="minorHAnsi"/>
          <w:b/>
          <w:szCs w:val="24"/>
        </w:rPr>
        <w:t>Note: </w:t>
      </w:r>
      <w:r w:rsidRPr="000700C3">
        <w:rPr>
          <w:rFonts w:cstheme="minorHAnsi"/>
          <w:szCs w:val="24"/>
        </w:rP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17" w:tooltip="Link ot NIST Special Publications Webpage" w:history="1">
        <w:r w:rsidRPr="000700C3">
          <w:rPr>
            <w:rFonts w:cstheme="minorHAnsi"/>
            <w:szCs w:val="24"/>
          </w:rPr>
          <w:t xml:space="preserve"> </w:t>
        </w:r>
        <w:r w:rsidRPr="000700C3">
          <w:rPr>
            <w:rStyle w:val="Hyperlink"/>
            <w:rFonts w:cstheme="minorHAnsi"/>
            <w:color w:val="2B60DE"/>
            <w:szCs w:val="24"/>
          </w:rPr>
          <w:t>http://csrc.nist.gov</w:t>
        </w:r>
        <w:r w:rsidRPr="000700C3">
          <w:rPr>
            <w:rStyle w:val="Hyperlink"/>
            <w:rFonts w:cstheme="minorHAnsi"/>
            <w:color w:val="2B60DE"/>
            <w:szCs w:val="24"/>
          </w:rPr>
          <w:t>/</w:t>
        </w:r>
        <w:r w:rsidRPr="000700C3">
          <w:rPr>
            <w:rStyle w:val="Hyperlink"/>
            <w:rFonts w:cstheme="minorHAnsi"/>
            <w:color w:val="2B60DE"/>
            <w:szCs w:val="24"/>
          </w:rPr>
          <w:t>publications/PubsSPs.html</w:t>
        </w:r>
        <w:r w:rsidRPr="000700C3">
          <w:rPr>
            <w:rFonts w:cstheme="minorHAnsi"/>
            <w:szCs w:val="24"/>
          </w:rPr>
          <w:t xml:space="preserve"> </w:t>
        </w:r>
      </w:hyperlink>
      <w:r w:rsidRPr="000700C3">
        <w:rPr>
          <w:rFonts w:cstheme="minorHAnsi"/>
          <w:szCs w:val="24"/>
        </w:rPr>
        <w:t>to access NIST Special Publications (800 Series).</w:t>
      </w:r>
    </w:p>
    <w:p w14:paraId="2E516E1A" w14:textId="77777777" w:rsidR="008C7BFF" w:rsidRPr="000700C3" w:rsidRDefault="008C7BFF" w:rsidP="00BF669A">
      <w:pPr>
        <w:pStyle w:val="Default"/>
        <w:tabs>
          <w:tab w:val="left" w:pos="1440"/>
        </w:tabs>
        <w:spacing w:after="120"/>
        <w:ind w:left="1440"/>
        <w:rPr>
          <w:rFonts w:asciiTheme="minorHAnsi" w:hAnsiTheme="minorHAnsi" w:cstheme="minorHAnsi"/>
        </w:rPr>
      </w:pPr>
    </w:p>
    <w:p w14:paraId="04F9A5DA" w14:textId="77777777" w:rsidR="008C7BFF" w:rsidRPr="000700C3" w:rsidRDefault="008C7BFF" w:rsidP="00F96F29">
      <w:pPr>
        <w:pStyle w:val="Heading1"/>
        <w:numPr>
          <w:ilvl w:val="0"/>
          <w:numId w:val="19"/>
        </w:numPr>
        <w:ind w:left="360"/>
      </w:pPr>
      <w:r w:rsidRPr="000700C3">
        <w:t>NIH Information and Physical Access Security</w:t>
      </w:r>
    </w:p>
    <w:p w14:paraId="785C5DD4" w14:textId="77777777" w:rsidR="008C7BFF" w:rsidRPr="00F96F29" w:rsidRDefault="008C7BFF" w:rsidP="00BF669A">
      <w:pPr>
        <w:pStyle w:val="Default"/>
        <w:numPr>
          <w:ilvl w:val="0"/>
          <w:numId w:val="14"/>
        </w:numPr>
        <w:spacing w:after="120"/>
        <w:rPr>
          <w:rFonts w:asciiTheme="minorHAnsi" w:hAnsiTheme="minorHAnsi" w:cstheme="minorHAnsi"/>
        </w:rPr>
      </w:pPr>
      <w:r w:rsidRPr="00F96F29">
        <w:rPr>
          <w:rFonts w:asciiTheme="minorHAnsi" w:hAnsiTheme="minorHAnsi" w:cstheme="minorHAnsi"/>
          <w:u w:val="single"/>
        </w:rPr>
        <w:t>Security Categorization of Federal Information and Information Systems (FIPS 199 Assessment</w:t>
      </w:r>
      <w:r w:rsidRPr="00F96F29">
        <w:rPr>
          <w:rFonts w:asciiTheme="minorHAnsi" w:hAnsiTheme="minorHAnsi" w:cstheme="minorHAnsi"/>
        </w:rPr>
        <w:t>)</w:t>
      </w:r>
    </w:p>
    <w:p w14:paraId="0A8892B8" w14:textId="77777777" w:rsidR="008C7BFF" w:rsidRPr="000700C3" w:rsidRDefault="008C7BFF" w:rsidP="00F96F29">
      <w:pPr>
        <w:pStyle w:val="Default"/>
        <w:spacing w:after="120"/>
        <w:ind w:left="720"/>
        <w:rPr>
          <w:rFonts w:asciiTheme="minorHAnsi" w:hAnsiTheme="minorHAnsi" w:cstheme="minorHAnsi"/>
        </w:rPr>
      </w:pPr>
      <w:r w:rsidRPr="000700C3">
        <w:rPr>
          <w:rFonts w:asciiTheme="minorHAnsi" w:hAnsiTheme="minorHAnsi" w:cstheme="minorHAnsi"/>
        </w:rPr>
        <w:t>The Contractor and all subcontractors performing under this acquisition shall comply with the following requirements:</w:t>
      </w:r>
    </w:p>
    <w:p w14:paraId="34714455" w14:textId="77777777" w:rsidR="008C7BFF" w:rsidRPr="000700C3" w:rsidRDefault="008C7BFF" w:rsidP="00BF669A">
      <w:pPr>
        <w:pStyle w:val="Default"/>
        <w:numPr>
          <w:ilvl w:val="1"/>
          <w:numId w:val="14"/>
        </w:numPr>
        <w:tabs>
          <w:tab w:val="left" w:pos="540"/>
        </w:tabs>
        <w:spacing w:after="120"/>
        <w:rPr>
          <w:rFonts w:asciiTheme="minorHAnsi" w:hAnsiTheme="minorHAnsi" w:cstheme="minorHAnsi"/>
        </w:rPr>
      </w:pPr>
      <w:r w:rsidRPr="000700C3">
        <w:rPr>
          <w:rFonts w:asciiTheme="minorHAnsi" w:hAnsiTheme="minorHAnsi" w:cstheme="minorHAnsi"/>
          <w:u w:val="single"/>
        </w:rPr>
        <w:t>Information Type</w:t>
      </w:r>
      <w:r w:rsidRPr="000700C3">
        <w:rPr>
          <w:rFonts w:asciiTheme="minorHAnsi" w:hAnsiTheme="minorHAnsi" w:cstheme="minorHAnsi"/>
        </w:rPr>
        <w:t xml:space="preserve"> </w:t>
      </w:r>
    </w:p>
    <w:p w14:paraId="78574026" w14:textId="34B977E5" w:rsidR="008C7BFF" w:rsidRPr="000700C3" w:rsidRDefault="008C7BFF" w:rsidP="00BF669A">
      <w:pPr>
        <w:pStyle w:val="Default"/>
        <w:spacing w:after="120"/>
        <w:ind w:left="1440"/>
        <w:rPr>
          <w:rFonts w:asciiTheme="minorHAnsi" w:hAnsiTheme="minorHAnsi" w:cstheme="minorHAnsi"/>
        </w:rPr>
      </w:pPr>
      <w:r w:rsidRPr="000700C3">
        <w:rPr>
          <w:rFonts w:asciiTheme="minorHAnsi" w:hAnsiTheme="minorHAnsi" w:cstheme="minorHAnsi"/>
        </w:rPr>
        <w:t>[</w:t>
      </w:r>
      <w:r w:rsidR="00B9346A" w:rsidRPr="000700C3">
        <w:rPr>
          <w:rFonts w:asciiTheme="minorHAnsi" w:hAnsiTheme="minorHAnsi" w:cstheme="minorHAnsi"/>
        </w:rPr>
        <w:t xml:space="preserve"> </w:t>
      </w:r>
      <w:r w:rsidRPr="000700C3">
        <w:rPr>
          <w:rFonts w:asciiTheme="minorHAnsi" w:hAnsiTheme="minorHAnsi" w:cstheme="minorHAnsi"/>
        </w:rPr>
        <w:t xml:space="preserve">] Information </w:t>
      </w:r>
      <w:r w:rsidR="00CC1423">
        <w:rPr>
          <w:rFonts w:asciiTheme="minorHAnsi" w:hAnsiTheme="minorHAnsi" w:cstheme="minorHAnsi"/>
        </w:rPr>
        <w:t>and</w:t>
      </w:r>
      <w:r w:rsidRPr="000700C3">
        <w:rPr>
          <w:rFonts w:asciiTheme="minorHAnsi" w:hAnsiTheme="minorHAnsi" w:cstheme="minorHAnsi"/>
        </w:rPr>
        <w:t xml:space="preserve"> Technology Management System Development </w:t>
      </w:r>
    </w:p>
    <w:p w14:paraId="4644F8C0" w14:textId="77777777" w:rsidR="008C7BFF" w:rsidRPr="000700C3" w:rsidRDefault="008C7BFF" w:rsidP="00BF669A">
      <w:pPr>
        <w:pStyle w:val="Default"/>
        <w:spacing w:after="120"/>
        <w:ind w:left="1440"/>
        <w:rPr>
          <w:rFonts w:asciiTheme="minorHAnsi" w:hAnsiTheme="minorHAnsi" w:cstheme="minorHAnsi"/>
        </w:rPr>
      </w:pPr>
    </w:p>
    <w:p w14:paraId="5F07BCD5" w14:textId="77777777" w:rsidR="008C7BFF" w:rsidRPr="000700C3" w:rsidRDefault="008C7BFF" w:rsidP="00BF669A">
      <w:pPr>
        <w:pStyle w:val="Default"/>
        <w:spacing w:after="120"/>
        <w:ind w:left="1440"/>
        <w:rPr>
          <w:rFonts w:asciiTheme="minorHAnsi" w:hAnsiTheme="minorHAnsi" w:cstheme="minorHAnsi"/>
        </w:rPr>
      </w:pPr>
      <w:r w:rsidRPr="000700C3">
        <w:rPr>
          <w:rFonts w:asciiTheme="minorHAnsi" w:hAnsiTheme="minorHAnsi" w:cstheme="minorHAnsi"/>
        </w:rPr>
        <w:t xml:space="preserve">[ ] Mission Based Information: </w:t>
      </w:r>
    </w:p>
    <w:p w14:paraId="46E42479" w14:textId="77777777" w:rsidR="008C7BFF" w:rsidRPr="000700C3" w:rsidRDefault="008C7BFF" w:rsidP="00BF669A">
      <w:pPr>
        <w:pStyle w:val="Default"/>
        <w:spacing w:after="120"/>
        <w:ind w:left="1440"/>
        <w:rPr>
          <w:rFonts w:asciiTheme="minorHAnsi" w:hAnsiTheme="minorHAnsi" w:cstheme="minorHAnsi"/>
        </w:rPr>
      </w:pPr>
      <w:r w:rsidRPr="000700C3">
        <w:rPr>
          <w:rFonts w:asciiTheme="minorHAnsi" w:hAnsiTheme="minorHAnsi" w:cstheme="minorHAnsi"/>
        </w:rPr>
        <w:t xml:space="preserve">______________________________ </w:t>
      </w:r>
    </w:p>
    <w:p w14:paraId="395821C8" w14:textId="77777777" w:rsidR="008C7BFF" w:rsidRPr="000700C3" w:rsidRDefault="008C7BFF" w:rsidP="00BF669A">
      <w:pPr>
        <w:pStyle w:val="Default"/>
        <w:spacing w:after="120"/>
        <w:ind w:left="1440"/>
        <w:rPr>
          <w:rFonts w:asciiTheme="minorHAnsi" w:hAnsiTheme="minorHAnsi" w:cstheme="minorHAnsi"/>
        </w:rPr>
      </w:pPr>
      <w:r w:rsidRPr="000700C3">
        <w:rPr>
          <w:rFonts w:asciiTheme="minorHAnsi" w:hAnsiTheme="minorHAnsi" w:cstheme="minorHAnsi"/>
        </w:rPr>
        <w:t xml:space="preserve">______________________________ </w:t>
      </w:r>
    </w:p>
    <w:p w14:paraId="0514B7BF" w14:textId="77777777" w:rsidR="008C7BFF" w:rsidRPr="000700C3" w:rsidRDefault="008C7BFF" w:rsidP="00F96F29">
      <w:pPr>
        <w:pStyle w:val="Default"/>
        <w:spacing w:after="120"/>
        <w:ind w:left="1440"/>
        <w:rPr>
          <w:rFonts w:asciiTheme="minorHAnsi" w:hAnsiTheme="minorHAnsi" w:cstheme="minorHAnsi"/>
        </w:rPr>
      </w:pPr>
      <w:r w:rsidRPr="000700C3">
        <w:rPr>
          <w:rFonts w:asciiTheme="minorHAnsi" w:hAnsiTheme="minorHAnsi" w:cstheme="minorHAnsi"/>
        </w:rPr>
        <w:t>______________________________</w:t>
      </w:r>
    </w:p>
    <w:p w14:paraId="06D9D5CF" w14:textId="77777777" w:rsidR="008C7BFF" w:rsidRPr="000700C3" w:rsidRDefault="008C7BFF" w:rsidP="00BF669A">
      <w:pPr>
        <w:pStyle w:val="Default"/>
        <w:numPr>
          <w:ilvl w:val="1"/>
          <w:numId w:val="14"/>
        </w:numPr>
        <w:spacing w:after="120"/>
        <w:rPr>
          <w:rFonts w:asciiTheme="minorHAnsi" w:hAnsiTheme="minorHAnsi" w:cstheme="minorHAnsi"/>
        </w:rPr>
      </w:pPr>
      <w:r w:rsidRPr="000700C3">
        <w:rPr>
          <w:rFonts w:asciiTheme="minorHAnsi" w:hAnsiTheme="minorHAnsi" w:cstheme="minorHAnsi"/>
          <w:u w:val="single"/>
        </w:rPr>
        <w:t>Security Categories and Levels</w:t>
      </w:r>
      <w:r w:rsidRPr="000700C3">
        <w:rPr>
          <w:rFonts w:asciiTheme="minorHAnsi" w:hAnsiTheme="minorHAnsi" w:cstheme="minorHAnsi"/>
        </w:rPr>
        <w:t xml:space="preserve"> </w:t>
      </w:r>
    </w:p>
    <w:p w14:paraId="6DEC1B3F" w14:textId="77777777" w:rsidR="008C7BFF" w:rsidRPr="000700C3" w:rsidRDefault="008C7BFF" w:rsidP="00BF669A">
      <w:pPr>
        <w:pStyle w:val="Default"/>
        <w:tabs>
          <w:tab w:val="left" w:pos="540"/>
          <w:tab w:val="left" w:pos="2880"/>
          <w:tab w:val="left" w:pos="3150"/>
          <w:tab w:val="left" w:pos="3780"/>
          <w:tab w:val="left" w:pos="4050"/>
          <w:tab w:val="left" w:pos="5220"/>
          <w:tab w:val="left" w:pos="5490"/>
        </w:tabs>
        <w:spacing w:after="120"/>
        <w:ind w:left="1260" w:hanging="540"/>
        <w:rPr>
          <w:rFonts w:asciiTheme="minorHAnsi" w:hAnsiTheme="minorHAnsi" w:cstheme="minorHAnsi"/>
        </w:rPr>
      </w:pPr>
      <w:r w:rsidRPr="000700C3">
        <w:rPr>
          <w:rFonts w:asciiTheme="minorHAnsi" w:hAnsiTheme="minorHAnsi" w:cstheme="minorHAnsi"/>
        </w:rPr>
        <w:tab/>
        <w:t>Confidentiality Level:</w:t>
      </w:r>
      <w:r w:rsidRPr="000700C3">
        <w:rPr>
          <w:rFonts w:asciiTheme="minorHAnsi" w:hAnsiTheme="minorHAnsi" w:cstheme="minorHAnsi"/>
        </w:rPr>
        <w:tab/>
        <w:t>[</w:t>
      </w:r>
      <w:r w:rsidR="00B9346A" w:rsidRPr="000700C3">
        <w:rPr>
          <w:rFonts w:asciiTheme="minorHAnsi" w:hAnsiTheme="minorHAnsi" w:cstheme="minorHAnsi"/>
        </w:rPr>
        <w:t xml:space="preserve"> </w:t>
      </w:r>
      <w:r w:rsidRPr="000700C3">
        <w:rPr>
          <w:rFonts w:asciiTheme="minorHAnsi" w:hAnsiTheme="minorHAnsi" w:cstheme="minorHAnsi"/>
        </w:rPr>
        <w:t>]</w:t>
      </w:r>
      <w:r w:rsidR="00B9346A" w:rsidRPr="000700C3">
        <w:rPr>
          <w:rFonts w:asciiTheme="minorHAnsi" w:hAnsiTheme="minorHAnsi" w:cstheme="minorHAnsi"/>
        </w:rPr>
        <w:t xml:space="preserve"> </w:t>
      </w:r>
      <w:r w:rsidRPr="000700C3">
        <w:rPr>
          <w:rFonts w:asciiTheme="minorHAnsi" w:hAnsiTheme="minorHAnsi" w:cstheme="minorHAnsi"/>
        </w:rPr>
        <w:t>Low</w:t>
      </w:r>
      <w:r w:rsidRPr="000700C3">
        <w:rPr>
          <w:rFonts w:asciiTheme="minorHAnsi" w:hAnsiTheme="minorHAnsi" w:cstheme="minorHAnsi"/>
        </w:rPr>
        <w:tab/>
      </w:r>
      <w:r w:rsidRPr="000700C3">
        <w:rPr>
          <w:rFonts w:asciiTheme="minorHAnsi" w:hAnsiTheme="minorHAnsi" w:cstheme="minorHAnsi"/>
        </w:rPr>
        <w:tab/>
      </w:r>
      <w:r w:rsidRPr="000700C3">
        <w:rPr>
          <w:rFonts w:asciiTheme="minorHAnsi" w:hAnsiTheme="minorHAnsi" w:cstheme="minorHAnsi"/>
        </w:rPr>
        <w:tab/>
        <w:t>[  ]</w:t>
      </w:r>
      <w:r w:rsidR="00B9346A" w:rsidRPr="000700C3">
        <w:rPr>
          <w:rFonts w:asciiTheme="minorHAnsi" w:hAnsiTheme="minorHAnsi" w:cstheme="minorHAnsi"/>
        </w:rPr>
        <w:t xml:space="preserve"> </w:t>
      </w:r>
      <w:r w:rsidRPr="000700C3">
        <w:rPr>
          <w:rFonts w:asciiTheme="minorHAnsi" w:hAnsiTheme="minorHAnsi" w:cstheme="minorHAnsi"/>
        </w:rPr>
        <w:t>Moderate</w:t>
      </w:r>
      <w:r w:rsidRPr="000700C3">
        <w:rPr>
          <w:rFonts w:asciiTheme="minorHAnsi" w:hAnsiTheme="minorHAnsi" w:cstheme="minorHAnsi"/>
        </w:rPr>
        <w:tab/>
      </w:r>
      <w:r w:rsidRPr="000700C3">
        <w:rPr>
          <w:rFonts w:asciiTheme="minorHAnsi" w:hAnsiTheme="minorHAnsi" w:cstheme="minorHAnsi"/>
        </w:rPr>
        <w:tab/>
        <w:t>[</w:t>
      </w:r>
      <w:r w:rsidR="00F86B77" w:rsidRPr="000700C3">
        <w:rPr>
          <w:rFonts w:asciiTheme="minorHAnsi" w:hAnsiTheme="minorHAnsi" w:cstheme="minorHAnsi"/>
        </w:rPr>
        <w:t xml:space="preserve"> </w:t>
      </w:r>
      <w:r w:rsidRPr="000700C3">
        <w:rPr>
          <w:rFonts w:asciiTheme="minorHAnsi" w:hAnsiTheme="minorHAnsi" w:cstheme="minorHAnsi"/>
        </w:rPr>
        <w:t xml:space="preserve"> ] High </w:t>
      </w:r>
    </w:p>
    <w:p w14:paraId="15DE30CE" w14:textId="77777777" w:rsidR="008C7BFF" w:rsidRPr="000700C3" w:rsidRDefault="008C7BFF" w:rsidP="00BF669A">
      <w:pPr>
        <w:pStyle w:val="Default"/>
        <w:tabs>
          <w:tab w:val="left" w:pos="540"/>
          <w:tab w:val="left" w:pos="2880"/>
          <w:tab w:val="left" w:pos="3150"/>
          <w:tab w:val="left" w:pos="3780"/>
          <w:tab w:val="left" w:pos="4050"/>
          <w:tab w:val="left" w:pos="5220"/>
          <w:tab w:val="left" w:pos="5490"/>
        </w:tabs>
        <w:spacing w:after="120"/>
        <w:ind w:left="1260" w:hanging="540"/>
        <w:rPr>
          <w:rFonts w:asciiTheme="minorHAnsi" w:hAnsiTheme="minorHAnsi" w:cstheme="minorHAnsi"/>
        </w:rPr>
      </w:pPr>
      <w:r w:rsidRPr="000700C3">
        <w:rPr>
          <w:rFonts w:asciiTheme="minorHAnsi" w:hAnsiTheme="minorHAnsi" w:cstheme="minorHAnsi"/>
        </w:rPr>
        <w:tab/>
        <w:t>Integrity Level:</w:t>
      </w:r>
      <w:r w:rsidR="00BB68C0">
        <w:rPr>
          <w:rFonts w:asciiTheme="minorHAnsi" w:hAnsiTheme="minorHAnsi" w:cstheme="minorHAnsi"/>
        </w:rPr>
        <w:tab/>
      </w:r>
      <w:r w:rsidR="00BB68C0">
        <w:rPr>
          <w:rFonts w:asciiTheme="minorHAnsi" w:hAnsiTheme="minorHAnsi" w:cstheme="minorHAnsi"/>
        </w:rPr>
        <w:tab/>
      </w:r>
      <w:r w:rsidR="00BB68C0">
        <w:rPr>
          <w:rFonts w:asciiTheme="minorHAnsi" w:hAnsiTheme="minorHAnsi" w:cstheme="minorHAnsi"/>
        </w:rPr>
        <w:tab/>
      </w:r>
      <w:r w:rsidR="00F86B77" w:rsidRPr="000700C3">
        <w:rPr>
          <w:rFonts w:asciiTheme="minorHAnsi" w:hAnsiTheme="minorHAnsi" w:cstheme="minorHAnsi"/>
        </w:rPr>
        <w:t>[</w:t>
      </w:r>
      <w:r w:rsidR="00B9346A" w:rsidRPr="000700C3">
        <w:rPr>
          <w:rFonts w:asciiTheme="minorHAnsi" w:hAnsiTheme="minorHAnsi" w:cstheme="minorHAnsi"/>
        </w:rPr>
        <w:t xml:space="preserve">  </w:t>
      </w:r>
      <w:r w:rsidR="00F86B77" w:rsidRPr="000700C3">
        <w:rPr>
          <w:rFonts w:asciiTheme="minorHAnsi" w:hAnsiTheme="minorHAnsi" w:cstheme="minorHAnsi"/>
        </w:rPr>
        <w:t>]Low</w:t>
      </w:r>
      <w:r w:rsidR="00BB68C0">
        <w:rPr>
          <w:rFonts w:asciiTheme="minorHAnsi" w:hAnsiTheme="minorHAnsi" w:cstheme="minorHAnsi"/>
        </w:rPr>
        <w:tab/>
      </w:r>
      <w:r w:rsidR="00BB68C0">
        <w:rPr>
          <w:rFonts w:asciiTheme="minorHAnsi" w:hAnsiTheme="minorHAnsi" w:cstheme="minorHAnsi"/>
        </w:rPr>
        <w:tab/>
      </w:r>
      <w:r w:rsidR="00BB68C0">
        <w:rPr>
          <w:rFonts w:asciiTheme="minorHAnsi" w:hAnsiTheme="minorHAnsi" w:cstheme="minorHAnsi"/>
        </w:rPr>
        <w:tab/>
      </w:r>
      <w:r w:rsidR="00F86B77" w:rsidRPr="000700C3">
        <w:rPr>
          <w:rFonts w:asciiTheme="minorHAnsi" w:hAnsiTheme="minorHAnsi" w:cstheme="minorHAnsi"/>
        </w:rPr>
        <w:t>[  ] Moderate</w:t>
      </w:r>
      <w:r w:rsidR="00F86B77" w:rsidRPr="000700C3">
        <w:rPr>
          <w:rFonts w:asciiTheme="minorHAnsi" w:hAnsiTheme="minorHAnsi" w:cstheme="minorHAnsi"/>
        </w:rPr>
        <w:tab/>
      </w:r>
      <w:r w:rsidR="00F86B77" w:rsidRPr="000700C3">
        <w:rPr>
          <w:rFonts w:asciiTheme="minorHAnsi" w:hAnsiTheme="minorHAnsi" w:cstheme="minorHAnsi"/>
        </w:rPr>
        <w:tab/>
      </w:r>
      <w:r w:rsidRPr="000700C3">
        <w:rPr>
          <w:rFonts w:asciiTheme="minorHAnsi" w:hAnsiTheme="minorHAnsi" w:cstheme="minorHAnsi"/>
        </w:rPr>
        <w:t xml:space="preserve">[ </w:t>
      </w:r>
      <w:r w:rsidR="00F86B77" w:rsidRPr="000700C3">
        <w:rPr>
          <w:rFonts w:asciiTheme="minorHAnsi" w:hAnsiTheme="minorHAnsi" w:cstheme="minorHAnsi"/>
        </w:rPr>
        <w:t xml:space="preserve"> </w:t>
      </w:r>
      <w:r w:rsidRPr="000700C3">
        <w:rPr>
          <w:rFonts w:asciiTheme="minorHAnsi" w:hAnsiTheme="minorHAnsi" w:cstheme="minorHAnsi"/>
        </w:rPr>
        <w:t>] High</w:t>
      </w:r>
    </w:p>
    <w:p w14:paraId="08031E7D" w14:textId="77777777" w:rsidR="008C7BFF" w:rsidRPr="000700C3" w:rsidRDefault="008C7BFF" w:rsidP="00BF669A">
      <w:pPr>
        <w:pStyle w:val="Default"/>
        <w:tabs>
          <w:tab w:val="left" w:pos="540"/>
          <w:tab w:val="left" w:pos="2880"/>
          <w:tab w:val="left" w:pos="3150"/>
          <w:tab w:val="left" w:pos="3780"/>
          <w:tab w:val="left" w:pos="4050"/>
          <w:tab w:val="left" w:pos="5220"/>
          <w:tab w:val="left" w:pos="5490"/>
        </w:tabs>
        <w:spacing w:after="120"/>
        <w:ind w:left="1260" w:hanging="540"/>
        <w:rPr>
          <w:rFonts w:asciiTheme="minorHAnsi" w:hAnsiTheme="minorHAnsi" w:cstheme="minorHAnsi"/>
        </w:rPr>
      </w:pPr>
      <w:r w:rsidRPr="000700C3">
        <w:rPr>
          <w:rFonts w:asciiTheme="minorHAnsi" w:hAnsiTheme="minorHAnsi" w:cstheme="minorHAnsi"/>
        </w:rPr>
        <w:tab/>
        <w:t>Availability Level:</w:t>
      </w:r>
      <w:r w:rsidR="00BB68C0">
        <w:rPr>
          <w:rFonts w:asciiTheme="minorHAnsi" w:hAnsiTheme="minorHAnsi" w:cstheme="minorHAnsi"/>
        </w:rPr>
        <w:tab/>
      </w:r>
      <w:r w:rsidR="00BB68C0">
        <w:rPr>
          <w:rFonts w:asciiTheme="minorHAnsi" w:hAnsiTheme="minorHAnsi" w:cstheme="minorHAnsi"/>
        </w:rPr>
        <w:tab/>
      </w:r>
      <w:r w:rsidRPr="000700C3">
        <w:rPr>
          <w:rFonts w:asciiTheme="minorHAnsi" w:hAnsiTheme="minorHAnsi" w:cstheme="minorHAnsi"/>
        </w:rPr>
        <w:t>[</w:t>
      </w:r>
      <w:r w:rsidR="00B9346A" w:rsidRPr="000700C3">
        <w:rPr>
          <w:rFonts w:asciiTheme="minorHAnsi" w:hAnsiTheme="minorHAnsi" w:cstheme="minorHAnsi"/>
        </w:rPr>
        <w:t xml:space="preserve">  </w:t>
      </w:r>
      <w:r w:rsidRPr="000700C3">
        <w:rPr>
          <w:rFonts w:asciiTheme="minorHAnsi" w:hAnsiTheme="minorHAnsi" w:cstheme="minorHAnsi"/>
        </w:rPr>
        <w:t>] Low</w:t>
      </w:r>
      <w:r w:rsidRPr="000700C3">
        <w:rPr>
          <w:rFonts w:asciiTheme="minorHAnsi" w:hAnsiTheme="minorHAnsi" w:cstheme="minorHAnsi"/>
        </w:rPr>
        <w:tab/>
      </w:r>
      <w:r w:rsidRPr="000700C3">
        <w:rPr>
          <w:rFonts w:asciiTheme="minorHAnsi" w:hAnsiTheme="minorHAnsi" w:cstheme="minorHAnsi"/>
        </w:rPr>
        <w:tab/>
      </w:r>
      <w:r w:rsidRPr="000700C3">
        <w:rPr>
          <w:rFonts w:asciiTheme="minorHAnsi" w:hAnsiTheme="minorHAnsi" w:cstheme="minorHAnsi"/>
        </w:rPr>
        <w:tab/>
        <w:t>[  ]</w:t>
      </w:r>
      <w:r w:rsidR="00B9346A" w:rsidRPr="000700C3">
        <w:rPr>
          <w:rFonts w:asciiTheme="minorHAnsi" w:hAnsiTheme="minorHAnsi" w:cstheme="minorHAnsi"/>
        </w:rPr>
        <w:t xml:space="preserve"> </w:t>
      </w:r>
      <w:r w:rsidRPr="000700C3">
        <w:rPr>
          <w:rFonts w:asciiTheme="minorHAnsi" w:hAnsiTheme="minorHAnsi" w:cstheme="minorHAnsi"/>
        </w:rPr>
        <w:t>Moderate</w:t>
      </w:r>
      <w:r w:rsidRPr="000700C3">
        <w:rPr>
          <w:rFonts w:asciiTheme="minorHAnsi" w:hAnsiTheme="minorHAnsi" w:cstheme="minorHAnsi"/>
        </w:rPr>
        <w:tab/>
        <w:t xml:space="preserve"> </w:t>
      </w:r>
      <w:r w:rsidRPr="000700C3">
        <w:rPr>
          <w:rFonts w:asciiTheme="minorHAnsi" w:hAnsiTheme="minorHAnsi" w:cstheme="minorHAnsi"/>
        </w:rPr>
        <w:tab/>
        <w:t>[</w:t>
      </w:r>
      <w:r w:rsidR="00F86B77" w:rsidRPr="000700C3">
        <w:rPr>
          <w:rFonts w:asciiTheme="minorHAnsi" w:hAnsiTheme="minorHAnsi" w:cstheme="minorHAnsi"/>
        </w:rPr>
        <w:t xml:space="preserve"> </w:t>
      </w:r>
      <w:r w:rsidRPr="000700C3">
        <w:rPr>
          <w:rFonts w:asciiTheme="minorHAnsi" w:hAnsiTheme="minorHAnsi" w:cstheme="minorHAnsi"/>
        </w:rPr>
        <w:t xml:space="preserve"> ] High</w:t>
      </w:r>
    </w:p>
    <w:p w14:paraId="7AB5581B" w14:textId="77777777" w:rsidR="008C7BFF" w:rsidRPr="000700C3" w:rsidRDefault="008C7BFF" w:rsidP="00BF669A">
      <w:pPr>
        <w:pStyle w:val="Default"/>
        <w:tabs>
          <w:tab w:val="left" w:pos="540"/>
          <w:tab w:val="left" w:pos="2880"/>
          <w:tab w:val="left" w:pos="3150"/>
          <w:tab w:val="left" w:pos="3780"/>
          <w:tab w:val="left" w:pos="4050"/>
          <w:tab w:val="left" w:pos="5220"/>
          <w:tab w:val="left" w:pos="5490"/>
        </w:tabs>
        <w:spacing w:after="120"/>
        <w:ind w:left="1260" w:hanging="540"/>
        <w:rPr>
          <w:rFonts w:asciiTheme="minorHAnsi" w:hAnsiTheme="minorHAnsi" w:cstheme="minorHAnsi"/>
          <w:b/>
          <w:bCs/>
        </w:rPr>
      </w:pPr>
      <w:r w:rsidRPr="000700C3">
        <w:rPr>
          <w:rFonts w:asciiTheme="minorHAnsi" w:hAnsiTheme="minorHAnsi" w:cstheme="minorHAnsi"/>
          <w:b/>
          <w:bCs/>
        </w:rPr>
        <w:tab/>
        <w:t>Overall Level:</w:t>
      </w:r>
      <w:r w:rsidR="00BB68C0">
        <w:rPr>
          <w:rFonts w:asciiTheme="minorHAnsi" w:hAnsiTheme="minorHAnsi" w:cstheme="minorHAnsi"/>
          <w:b/>
          <w:bCs/>
        </w:rPr>
        <w:tab/>
      </w:r>
      <w:r w:rsidR="00BB68C0">
        <w:rPr>
          <w:rFonts w:asciiTheme="minorHAnsi" w:hAnsiTheme="minorHAnsi" w:cstheme="minorHAnsi"/>
          <w:b/>
          <w:bCs/>
        </w:rPr>
        <w:tab/>
      </w:r>
      <w:r w:rsidR="00BB68C0">
        <w:rPr>
          <w:rFonts w:asciiTheme="minorHAnsi" w:hAnsiTheme="minorHAnsi" w:cstheme="minorHAnsi"/>
          <w:b/>
          <w:bCs/>
        </w:rPr>
        <w:tab/>
      </w:r>
      <w:r w:rsidRPr="000700C3">
        <w:rPr>
          <w:rFonts w:asciiTheme="minorHAnsi" w:hAnsiTheme="minorHAnsi" w:cstheme="minorHAnsi"/>
        </w:rPr>
        <w:t>[</w:t>
      </w:r>
      <w:r w:rsidR="00B9346A" w:rsidRPr="000700C3">
        <w:rPr>
          <w:rFonts w:asciiTheme="minorHAnsi" w:hAnsiTheme="minorHAnsi" w:cstheme="minorHAnsi"/>
        </w:rPr>
        <w:t xml:space="preserve">  </w:t>
      </w:r>
      <w:r w:rsidRPr="000700C3">
        <w:rPr>
          <w:rFonts w:asciiTheme="minorHAnsi" w:hAnsiTheme="minorHAnsi" w:cstheme="minorHAnsi"/>
        </w:rPr>
        <w:t>]Low</w:t>
      </w:r>
      <w:r w:rsidRPr="000700C3">
        <w:rPr>
          <w:rFonts w:asciiTheme="minorHAnsi" w:hAnsiTheme="minorHAnsi" w:cstheme="minorHAnsi"/>
        </w:rPr>
        <w:tab/>
      </w:r>
      <w:r w:rsidRPr="000700C3">
        <w:rPr>
          <w:rFonts w:asciiTheme="minorHAnsi" w:hAnsiTheme="minorHAnsi" w:cstheme="minorHAnsi"/>
        </w:rPr>
        <w:tab/>
      </w:r>
      <w:r w:rsidRPr="000700C3">
        <w:rPr>
          <w:rFonts w:asciiTheme="minorHAnsi" w:hAnsiTheme="minorHAnsi" w:cstheme="minorHAnsi"/>
        </w:rPr>
        <w:tab/>
        <w:t>[  ] Moderate</w:t>
      </w:r>
      <w:r w:rsidRPr="000700C3">
        <w:rPr>
          <w:rFonts w:asciiTheme="minorHAnsi" w:hAnsiTheme="minorHAnsi" w:cstheme="minorHAnsi"/>
        </w:rPr>
        <w:tab/>
      </w:r>
      <w:r w:rsidRPr="000700C3">
        <w:rPr>
          <w:rFonts w:asciiTheme="minorHAnsi" w:hAnsiTheme="minorHAnsi" w:cstheme="minorHAnsi"/>
        </w:rPr>
        <w:tab/>
        <w:t>[</w:t>
      </w:r>
      <w:r w:rsidR="00F86B77" w:rsidRPr="000700C3">
        <w:rPr>
          <w:rFonts w:asciiTheme="minorHAnsi" w:hAnsiTheme="minorHAnsi" w:cstheme="minorHAnsi"/>
        </w:rPr>
        <w:t xml:space="preserve"> </w:t>
      </w:r>
      <w:r w:rsidRPr="000700C3">
        <w:rPr>
          <w:rFonts w:asciiTheme="minorHAnsi" w:hAnsiTheme="minorHAnsi" w:cstheme="minorHAnsi"/>
        </w:rPr>
        <w:t xml:space="preserve"> ] High</w:t>
      </w:r>
    </w:p>
    <w:p w14:paraId="1A01F494" w14:textId="64282A79" w:rsidR="008C7BFF" w:rsidRPr="000700C3" w:rsidRDefault="008C7BFF" w:rsidP="00BF669A">
      <w:pPr>
        <w:pStyle w:val="ListParagraph"/>
        <w:numPr>
          <w:ilvl w:val="1"/>
          <w:numId w:val="14"/>
        </w:numPr>
        <w:spacing w:after="120" w:line="240" w:lineRule="auto"/>
        <w:rPr>
          <w:rFonts w:cstheme="minorHAnsi"/>
          <w:szCs w:val="24"/>
        </w:rPr>
      </w:pPr>
      <w:r w:rsidRPr="000700C3">
        <w:rPr>
          <w:rFonts w:cstheme="minorHAnsi"/>
          <w:szCs w:val="24"/>
        </w:rPr>
        <w:t xml:space="preserve">In accordance with </w:t>
      </w:r>
      <w:r w:rsidR="00C710E6">
        <w:rPr>
          <w:rFonts w:cstheme="minorHAnsi"/>
          <w:szCs w:val="24"/>
        </w:rPr>
        <w:t>F</w:t>
      </w:r>
      <w:r w:rsidR="009C65E9">
        <w:rPr>
          <w:rFonts w:cstheme="minorHAnsi"/>
          <w:szCs w:val="24"/>
        </w:rPr>
        <w:t>ARS</w:t>
      </w:r>
      <w:r w:rsidR="009C65E9" w:rsidRPr="000700C3">
        <w:rPr>
          <w:rFonts w:cstheme="minorHAnsi"/>
          <w:szCs w:val="24"/>
        </w:rPr>
        <w:t xml:space="preserve"> </w:t>
      </w:r>
      <w:r w:rsidRPr="000700C3">
        <w:rPr>
          <w:rFonts w:cstheme="minorHAnsi"/>
          <w:szCs w:val="24"/>
        </w:rPr>
        <w:t>Clause 352.239-72, the</w:t>
      </w:r>
      <w:r w:rsidR="00FA4D23">
        <w:rPr>
          <w:rFonts w:cstheme="minorHAnsi"/>
          <w:szCs w:val="24"/>
        </w:rPr>
        <w:t xml:space="preserve"> Contractor</w:t>
      </w:r>
      <w:r w:rsidRPr="000700C3">
        <w:rPr>
          <w:rFonts w:cstheme="minorHAnsi"/>
          <w:szCs w:val="24"/>
        </w:rPr>
        <w:t xml:space="preserve"> shall submit a FIPS 199 Assessment within 30 days after contract award. Any differences between the</w:t>
      </w:r>
      <w:r w:rsidR="00FA4D23">
        <w:rPr>
          <w:rFonts w:cstheme="minorHAnsi"/>
          <w:szCs w:val="24"/>
        </w:rPr>
        <w:t xml:space="preserve"> Contractor</w:t>
      </w:r>
      <w:r w:rsidRPr="000700C3">
        <w:rPr>
          <w:rFonts w:cstheme="minorHAnsi"/>
          <w:szCs w:val="24"/>
        </w:rPr>
        <w:t>'s assessment and the information contained herein, will be resolved, and if required, the contract will be modified to incorporate the final FIPS 199 Assessment.</w:t>
      </w:r>
    </w:p>
    <w:p w14:paraId="5810937A" w14:textId="77777777" w:rsidR="008C7BFF" w:rsidRPr="000700C3" w:rsidRDefault="008C7BFF" w:rsidP="00BF669A">
      <w:pPr>
        <w:pStyle w:val="Default"/>
        <w:numPr>
          <w:ilvl w:val="0"/>
          <w:numId w:val="14"/>
        </w:numPr>
        <w:spacing w:after="120"/>
        <w:rPr>
          <w:rFonts w:asciiTheme="minorHAnsi" w:hAnsiTheme="minorHAnsi" w:cstheme="minorHAnsi"/>
        </w:rPr>
      </w:pPr>
      <w:r w:rsidRPr="000700C3">
        <w:rPr>
          <w:rFonts w:asciiTheme="minorHAnsi" w:hAnsiTheme="minorHAnsi" w:cstheme="minorHAnsi"/>
          <w:u w:val="single"/>
        </w:rPr>
        <w:t>Information Security Training</w:t>
      </w:r>
      <w:r w:rsidRPr="000700C3">
        <w:rPr>
          <w:rFonts w:asciiTheme="minorHAnsi" w:hAnsiTheme="minorHAnsi" w:cstheme="minorHAnsi"/>
        </w:rPr>
        <w:t xml:space="preserve"> </w:t>
      </w:r>
    </w:p>
    <w:p w14:paraId="0EF694A0" w14:textId="3463D14B" w:rsidR="008C7BFF" w:rsidRPr="000700C3" w:rsidRDefault="008C7BFF" w:rsidP="00BF669A">
      <w:pPr>
        <w:tabs>
          <w:tab w:val="num" w:pos="3600"/>
        </w:tabs>
        <w:spacing w:after="120" w:line="240" w:lineRule="auto"/>
        <w:ind w:left="720" w:right="1440"/>
        <w:rPr>
          <w:rFonts w:cstheme="minorHAnsi"/>
          <w:szCs w:val="24"/>
        </w:rPr>
      </w:pPr>
      <w:r w:rsidRPr="000700C3">
        <w:rPr>
          <w:rFonts w:cstheme="minorHAnsi"/>
          <w:szCs w:val="24"/>
        </w:rPr>
        <w:t xml:space="preserve">In addition to any training covered under paragraph (e) of </w:t>
      </w:r>
      <w:r w:rsidR="00C710E6">
        <w:rPr>
          <w:rFonts w:cstheme="minorHAnsi"/>
          <w:szCs w:val="24"/>
        </w:rPr>
        <w:t>F</w:t>
      </w:r>
      <w:r w:rsidR="009C65E9">
        <w:rPr>
          <w:rFonts w:cstheme="minorHAnsi"/>
          <w:szCs w:val="24"/>
        </w:rPr>
        <w:t>ARS</w:t>
      </w:r>
      <w:r w:rsidR="009C65E9" w:rsidRPr="000700C3">
        <w:rPr>
          <w:rFonts w:cstheme="minorHAnsi"/>
          <w:szCs w:val="24"/>
        </w:rPr>
        <w:t xml:space="preserve"> </w:t>
      </w:r>
      <w:r w:rsidRPr="000700C3">
        <w:rPr>
          <w:rFonts w:cstheme="minorHAnsi"/>
          <w:szCs w:val="24"/>
        </w:rPr>
        <w:t>352.239-72, the</w:t>
      </w:r>
      <w:r w:rsidR="00FA4D23">
        <w:rPr>
          <w:rFonts w:cstheme="minorHAnsi"/>
          <w:szCs w:val="24"/>
        </w:rPr>
        <w:t xml:space="preserve"> Contractor</w:t>
      </w:r>
      <w:r w:rsidRPr="000700C3">
        <w:rPr>
          <w:rFonts w:cstheme="minorHAnsi"/>
          <w:szCs w:val="24"/>
        </w:rPr>
        <w:t xml:space="preserve"> shall comply with the below training:</w:t>
      </w:r>
    </w:p>
    <w:p w14:paraId="24B087C8" w14:textId="77777777" w:rsidR="008C7BFF" w:rsidRPr="000700C3" w:rsidRDefault="008C7BFF" w:rsidP="00BF669A">
      <w:pPr>
        <w:pStyle w:val="ListParagraph"/>
        <w:numPr>
          <w:ilvl w:val="0"/>
          <w:numId w:val="16"/>
        </w:numPr>
        <w:tabs>
          <w:tab w:val="clear" w:pos="720"/>
        </w:tabs>
        <w:spacing w:after="120" w:line="240" w:lineRule="auto"/>
        <w:ind w:left="1080" w:right="1440"/>
        <w:rPr>
          <w:rFonts w:cstheme="minorHAnsi"/>
          <w:szCs w:val="24"/>
        </w:rPr>
      </w:pPr>
      <w:r w:rsidRPr="000700C3">
        <w:rPr>
          <w:rFonts w:cstheme="minorHAnsi"/>
          <w:szCs w:val="24"/>
        </w:rPr>
        <w:t>Mandatory Training</w:t>
      </w:r>
    </w:p>
    <w:p w14:paraId="2355CC57" w14:textId="39B7B300" w:rsidR="008C7BFF" w:rsidRPr="000700C3" w:rsidRDefault="008C7BFF" w:rsidP="00BF669A">
      <w:pPr>
        <w:numPr>
          <w:ilvl w:val="1"/>
          <w:numId w:val="16"/>
        </w:numPr>
        <w:spacing w:after="120" w:line="240" w:lineRule="auto"/>
        <w:rPr>
          <w:rFonts w:cstheme="minorHAnsi"/>
          <w:szCs w:val="24"/>
        </w:rPr>
      </w:pPr>
      <w:r w:rsidRPr="000700C3">
        <w:rPr>
          <w:rFonts w:cstheme="minorHAnsi"/>
          <w:szCs w:val="24"/>
        </w:rPr>
        <w:t>All Contractor employees having access to (1) Federal information or a Federal information system or (2) sensitive data/information as defined at HHSAR 304.1300(a)(4), shall complete the NIH Computer Security Awareness Training course at</w:t>
      </w:r>
      <w:r w:rsidR="00D43FEF">
        <w:rPr>
          <w:rFonts w:cstheme="minorHAnsi"/>
          <w:szCs w:val="24"/>
        </w:rPr>
        <w:t xml:space="preserve"> </w:t>
      </w:r>
      <w:hyperlink r:id="rId18" w:history="1">
        <w:r w:rsidR="00D43FEF" w:rsidRPr="00CF576F">
          <w:rPr>
            <w:rStyle w:val="Hyperlink"/>
            <w:szCs w:val="24"/>
          </w:rPr>
          <w:t xml:space="preserve">    https://www.hhs.gov/about/agencies/asa/ocio/cybersecurity/security-awareness-training/index.html </w:t>
        </w:r>
      </w:hyperlink>
      <w:r w:rsidR="009C65E9">
        <w:rPr>
          <w:rFonts w:cstheme="minorHAnsi"/>
          <w:szCs w:val="24"/>
        </w:rPr>
        <w:t xml:space="preserve"> </w:t>
      </w:r>
      <w:r w:rsidRPr="000700C3">
        <w:rPr>
          <w:rFonts w:cstheme="minorHAnsi"/>
          <w:szCs w:val="24"/>
        </w:rPr>
        <w:t xml:space="preserve">before performing any work under this contract.  Thereafter, </w:t>
      </w:r>
      <w:r w:rsidRPr="000700C3">
        <w:rPr>
          <w:rFonts w:cstheme="minorHAnsi"/>
          <w:szCs w:val="24"/>
        </w:rPr>
        <w:lastRenderedPageBreak/>
        <w:t>Contractor employees having access to the information identified above shall complete an annual NIH-specified refresher course during the life of this contract. The Contractor shall also ensure subcontractor compliance with this training requirement.</w:t>
      </w:r>
    </w:p>
    <w:p w14:paraId="2D8CE06D" w14:textId="77777777" w:rsidR="008C7BFF" w:rsidRPr="000700C3" w:rsidRDefault="008C7BFF" w:rsidP="00BF669A">
      <w:pPr>
        <w:numPr>
          <w:ilvl w:val="1"/>
          <w:numId w:val="16"/>
        </w:numPr>
        <w:spacing w:after="120" w:line="240" w:lineRule="auto"/>
        <w:rPr>
          <w:rFonts w:cstheme="minorHAnsi"/>
          <w:szCs w:val="24"/>
        </w:rPr>
      </w:pPr>
      <w:r w:rsidRPr="000700C3">
        <w:rPr>
          <w:rFonts w:cstheme="minorHAnsi"/>
          <w:szCs w:val="24"/>
        </w:rP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COTR and/or Contracting Officer upon request.</w:t>
      </w:r>
    </w:p>
    <w:p w14:paraId="108A7FA1" w14:textId="74E07CC0" w:rsidR="008C7BFF" w:rsidRDefault="008C7BFF" w:rsidP="00D43FEF">
      <w:pPr>
        <w:numPr>
          <w:ilvl w:val="0"/>
          <w:numId w:val="16"/>
        </w:numPr>
        <w:tabs>
          <w:tab w:val="clear" w:pos="720"/>
        </w:tabs>
        <w:spacing w:after="0" w:line="240" w:lineRule="auto"/>
        <w:ind w:left="1080"/>
        <w:rPr>
          <w:rFonts w:cstheme="minorHAnsi"/>
          <w:szCs w:val="24"/>
        </w:rPr>
      </w:pPr>
      <w:r w:rsidRPr="000700C3">
        <w:rPr>
          <w:rFonts w:cstheme="minorHAnsi"/>
          <w:szCs w:val="24"/>
        </w:rPr>
        <w:t>Role-based Training</w:t>
      </w:r>
      <w:r w:rsidRPr="000700C3">
        <w:rPr>
          <w:rFonts w:cstheme="minorHAnsi"/>
          <w:szCs w:val="24"/>
        </w:rPr>
        <w:br/>
        <w:t xml:space="preserve">HHS requires role-based training when responsibilities associated with a given role or position, could, upon execution, have the potential to adversely impact the security posture of one or more HHS systems.  Read further guidance at </w:t>
      </w:r>
      <w:r w:rsidRPr="000700C3">
        <w:rPr>
          <w:rFonts w:cstheme="minorHAnsi"/>
          <w:szCs w:val="24"/>
          <w:u w:val="single"/>
        </w:rPr>
        <w:t>Secure One HHS Memorandum on Role-Based Training Requirement</w:t>
      </w:r>
      <w:r w:rsidRPr="000700C3">
        <w:rPr>
          <w:rFonts w:cstheme="minorHAnsi"/>
          <w:szCs w:val="24"/>
        </w:rPr>
        <w:t xml:space="preserve"> .</w:t>
      </w:r>
      <w:r w:rsidRPr="000700C3">
        <w:rPr>
          <w:rFonts w:cstheme="minorHAnsi"/>
          <w:szCs w:val="24"/>
        </w:rPr>
        <w:br/>
      </w:r>
      <w:r w:rsidRPr="000700C3">
        <w:rPr>
          <w:rFonts w:cstheme="minorHAnsi"/>
          <w:szCs w:val="24"/>
        </w:rPr>
        <w:br/>
        <w:t>For additional information see the following:</w:t>
      </w:r>
      <w:r w:rsidR="00D43FEF">
        <w:rPr>
          <w:rStyle w:val="CommentReference"/>
        </w:rPr>
        <w:t xml:space="preserve"> </w:t>
      </w:r>
      <w:r w:rsidR="0010587B">
        <w:rPr>
          <w:rFonts w:cstheme="minorHAnsi"/>
          <w:szCs w:val="24"/>
        </w:rPr>
        <w:t xml:space="preserve"> </w:t>
      </w:r>
      <w:hyperlink r:id="rId19" w:history="1">
        <w:r w:rsidR="0010587B" w:rsidRPr="005F780D">
          <w:rPr>
            <w:rFonts w:cs="Times New Roman"/>
            <w:color w:val="0000FF"/>
            <w:szCs w:val="24"/>
            <w:u w:val="single"/>
          </w:rPr>
          <w:t xml:space="preserve"> https://www.hhs.gov/about/agencies/asa/ocio/cybersecurity/security-awareness-training/index.html </w:t>
        </w:r>
      </w:hyperlink>
      <w:r w:rsidR="0010587B">
        <w:rPr>
          <w:rFonts w:cs="Times New Roman"/>
          <w:color w:val="0000FF"/>
          <w:szCs w:val="24"/>
          <w:u w:val="single"/>
        </w:rPr>
        <w:t>.</w:t>
      </w:r>
      <w:r w:rsidRPr="000700C3">
        <w:rPr>
          <w:rFonts w:cstheme="minorHAnsi"/>
          <w:szCs w:val="24"/>
        </w:rPr>
        <w:br/>
      </w:r>
      <w:r w:rsidR="0010587B">
        <w:rPr>
          <w:rFonts w:cstheme="minorHAnsi"/>
          <w:szCs w:val="24"/>
        </w:rPr>
        <w:t xml:space="preserve">  </w:t>
      </w:r>
      <w:r w:rsidRPr="000700C3">
        <w:rPr>
          <w:rFonts w:cstheme="minorHAnsi"/>
          <w:szCs w:val="24"/>
        </w:rPr>
        <w:br/>
        <w:t>The Contractor shall maintain a list of all information security training completed by each</w:t>
      </w:r>
      <w:r w:rsidR="00FA4D23">
        <w:rPr>
          <w:rFonts w:cstheme="minorHAnsi"/>
          <w:szCs w:val="24"/>
        </w:rPr>
        <w:t xml:space="preserve"> Contractor</w:t>
      </w:r>
      <w:r w:rsidRPr="000700C3">
        <w:rPr>
          <w:rFonts w:cstheme="minorHAnsi"/>
          <w:szCs w:val="24"/>
        </w:rPr>
        <w:t>/subcontractor employee working under this contract. The list shall be provided to the COTR and/or Contracting Officer upon request. </w:t>
      </w:r>
    </w:p>
    <w:p w14:paraId="1C853273" w14:textId="77777777" w:rsidR="00D43FEF" w:rsidRPr="000700C3" w:rsidRDefault="00D43FEF" w:rsidP="00D43FEF">
      <w:pPr>
        <w:spacing w:after="0" w:line="240" w:lineRule="auto"/>
        <w:ind w:left="1080"/>
        <w:rPr>
          <w:rFonts w:cstheme="minorHAnsi"/>
          <w:szCs w:val="24"/>
        </w:rPr>
      </w:pPr>
    </w:p>
    <w:p w14:paraId="00C39910" w14:textId="52E10070" w:rsidR="00D43FEF" w:rsidRPr="00D43FEF" w:rsidRDefault="008C7BFF" w:rsidP="00D43FEF">
      <w:pPr>
        <w:numPr>
          <w:ilvl w:val="0"/>
          <w:numId w:val="17"/>
        </w:numPr>
        <w:tabs>
          <w:tab w:val="clear" w:pos="1440"/>
        </w:tabs>
        <w:spacing w:after="0" w:line="240" w:lineRule="auto"/>
        <w:ind w:left="720"/>
        <w:rPr>
          <w:rFonts w:cstheme="minorHAnsi"/>
        </w:rPr>
      </w:pPr>
      <w:r w:rsidRPr="0015636C">
        <w:rPr>
          <w:rFonts w:cstheme="minorHAnsi"/>
          <w:szCs w:val="24"/>
          <w:u w:val="single"/>
        </w:rPr>
        <w:t>Rules of Behavior</w:t>
      </w:r>
      <w:r w:rsidRPr="00D43FEF">
        <w:rPr>
          <w:rFonts w:cstheme="minorHAnsi"/>
          <w:szCs w:val="24"/>
        </w:rPr>
        <w:br/>
        <w:t>The Contractor shall ensure that all employees, including subcontractor employees, comply with the NIH Information Technology General Rules of Behavior</w:t>
      </w:r>
      <w:r w:rsidR="00D43FEF" w:rsidRPr="00D43FEF">
        <w:rPr>
          <w:rFonts w:cstheme="minorHAnsi"/>
          <w:szCs w:val="24"/>
        </w:rPr>
        <w:t>,</w:t>
      </w:r>
      <w:r w:rsidRPr="00D43FEF">
        <w:rPr>
          <w:rFonts w:cstheme="minorHAnsi"/>
          <w:szCs w:val="24"/>
        </w:rPr>
        <w:t xml:space="preserve"> </w:t>
      </w:r>
      <w:hyperlink r:id="rId20" w:history="1">
        <w:r w:rsidR="0010587B" w:rsidRPr="00D43FEF">
          <w:rPr>
            <w:color w:val="0000FF"/>
            <w:u w:val="single"/>
          </w:rPr>
          <w:t>IT General Rules of Bahavior (nih.gov)</w:t>
        </w:r>
      </w:hyperlink>
      <w:r w:rsidR="0010587B">
        <w:t xml:space="preserve"> ,</w:t>
      </w:r>
      <w:r w:rsidR="0010587B" w:rsidRPr="00D43FEF">
        <w:rPr>
          <w:rFonts w:cstheme="minorHAnsi"/>
          <w:szCs w:val="24"/>
        </w:rPr>
        <w:t xml:space="preserve"> </w:t>
      </w:r>
      <w:r w:rsidRPr="00D43FEF">
        <w:rPr>
          <w:rFonts w:cstheme="minorHAnsi"/>
          <w:szCs w:val="24"/>
        </w:rPr>
        <w:t>which are contained in the NIH Information Security Awareness Training Course</w:t>
      </w:r>
      <w:r w:rsidR="0020362E" w:rsidRPr="00D43FEF">
        <w:rPr>
          <w:rFonts w:cstheme="minorHAnsi"/>
          <w:szCs w:val="24"/>
        </w:rPr>
        <w:t>.</w:t>
      </w:r>
      <w:r w:rsidR="006978FC" w:rsidRPr="00D43FEF">
        <w:rPr>
          <w:rFonts w:cstheme="minorHAnsi"/>
          <w:szCs w:val="24"/>
        </w:rPr>
        <w:t xml:space="preserve"> </w:t>
      </w:r>
    </w:p>
    <w:p w14:paraId="1CDAB32A" w14:textId="77777777" w:rsidR="00D43FEF" w:rsidRPr="00D43FEF" w:rsidRDefault="00D43FEF" w:rsidP="00D43FEF">
      <w:pPr>
        <w:spacing w:after="0" w:line="240" w:lineRule="auto"/>
        <w:ind w:left="720"/>
        <w:rPr>
          <w:rFonts w:cstheme="minorHAnsi"/>
        </w:rPr>
      </w:pPr>
    </w:p>
    <w:p w14:paraId="6F0B94E1" w14:textId="4F1F59C4" w:rsidR="008C7BFF" w:rsidRPr="0015636C" w:rsidRDefault="008C7BFF" w:rsidP="00D43FEF">
      <w:pPr>
        <w:numPr>
          <w:ilvl w:val="0"/>
          <w:numId w:val="17"/>
        </w:numPr>
        <w:tabs>
          <w:tab w:val="clear" w:pos="1440"/>
        </w:tabs>
        <w:spacing w:after="0" w:line="240" w:lineRule="auto"/>
        <w:ind w:left="720"/>
        <w:rPr>
          <w:rFonts w:cstheme="minorHAnsi"/>
          <w:u w:val="single"/>
        </w:rPr>
      </w:pPr>
      <w:r w:rsidRPr="0015636C">
        <w:rPr>
          <w:rFonts w:cstheme="minorHAnsi"/>
          <w:u w:val="single"/>
        </w:rPr>
        <w:t xml:space="preserve">Personnel Security Responsibilities </w:t>
      </w:r>
    </w:p>
    <w:p w14:paraId="2A5B6E01" w14:textId="2FAB97ED" w:rsidR="008C7BFF" w:rsidRPr="000700C3" w:rsidRDefault="008C7BFF" w:rsidP="00BF669A">
      <w:pPr>
        <w:spacing w:after="120" w:line="240" w:lineRule="auto"/>
        <w:ind w:left="720"/>
        <w:rPr>
          <w:rFonts w:cstheme="minorHAnsi"/>
          <w:szCs w:val="24"/>
        </w:rPr>
      </w:pPr>
      <w:r w:rsidRPr="000700C3">
        <w:rPr>
          <w:rFonts w:cstheme="minorHAnsi"/>
          <w:szCs w:val="24"/>
        </w:rPr>
        <w:t xml:space="preserve">In addition to any personnel security responsibilities covered under </w:t>
      </w:r>
      <w:r w:rsidR="00C710E6">
        <w:rPr>
          <w:rFonts w:cstheme="minorHAnsi"/>
          <w:szCs w:val="24"/>
        </w:rPr>
        <w:t>FARS</w:t>
      </w:r>
      <w:r w:rsidR="00C710E6" w:rsidRPr="000700C3">
        <w:rPr>
          <w:rFonts w:cstheme="minorHAnsi"/>
          <w:szCs w:val="24"/>
        </w:rPr>
        <w:t xml:space="preserve"> </w:t>
      </w:r>
      <w:r w:rsidRPr="000700C3">
        <w:rPr>
          <w:rFonts w:cstheme="minorHAnsi"/>
          <w:szCs w:val="24"/>
        </w:rPr>
        <w:t>352.239-72, the</w:t>
      </w:r>
      <w:r w:rsidR="00FA4D23">
        <w:rPr>
          <w:rFonts w:cstheme="minorHAnsi"/>
          <w:szCs w:val="24"/>
        </w:rPr>
        <w:t xml:space="preserve"> Contractor</w:t>
      </w:r>
      <w:r w:rsidRPr="000700C3">
        <w:rPr>
          <w:rFonts w:cstheme="minorHAnsi"/>
          <w:szCs w:val="24"/>
        </w:rPr>
        <w:t xml:space="preserve"> shall comply with the below personnel security responsibilities: </w:t>
      </w:r>
    </w:p>
    <w:p w14:paraId="1097F65B" w14:textId="77777777" w:rsidR="008C7BFF" w:rsidRPr="000700C3" w:rsidRDefault="008C7BFF" w:rsidP="00BF669A">
      <w:pPr>
        <w:numPr>
          <w:ilvl w:val="4"/>
          <w:numId w:val="17"/>
        </w:numPr>
        <w:tabs>
          <w:tab w:val="clear" w:pos="4320"/>
        </w:tabs>
        <w:spacing w:after="120" w:line="240" w:lineRule="auto"/>
        <w:ind w:left="1440"/>
        <w:rPr>
          <w:rFonts w:cstheme="minorHAnsi"/>
          <w:szCs w:val="24"/>
        </w:rPr>
      </w:pPr>
      <w:r w:rsidRPr="000700C3">
        <w:rPr>
          <w:rFonts w:cstheme="minorHAnsi"/>
          <w:szCs w:val="24"/>
        </w:rPr>
        <w:t>In accordance with Paragraph (h) of HHSAR 352.239-72, the Contractor shall notify the Contracting officer and the COTR within five working days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 such access. </w:t>
      </w:r>
    </w:p>
    <w:p w14:paraId="30D2BA4E" w14:textId="6A83B1DF" w:rsidR="008C7BFF" w:rsidRPr="000700C3" w:rsidRDefault="008C7BFF" w:rsidP="00BF669A">
      <w:pPr>
        <w:numPr>
          <w:ilvl w:val="4"/>
          <w:numId w:val="17"/>
        </w:numPr>
        <w:tabs>
          <w:tab w:val="clear" w:pos="4320"/>
        </w:tabs>
        <w:spacing w:after="120" w:line="240" w:lineRule="auto"/>
        <w:ind w:left="1440"/>
        <w:rPr>
          <w:rFonts w:cstheme="minorHAnsi"/>
          <w:szCs w:val="24"/>
        </w:rPr>
      </w:pPr>
      <w:r w:rsidRPr="000700C3">
        <w:rPr>
          <w:rFonts w:cstheme="minorHAnsi"/>
          <w:szCs w:val="24"/>
        </w:rPr>
        <w:t xml:space="preserve"> New</w:t>
      </w:r>
      <w:r w:rsidR="00FA4D23">
        <w:rPr>
          <w:rFonts w:cstheme="minorHAnsi"/>
          <w:szCs w:val="24"/>
        </w:rPr>
        <w:t xml:space="preserve"> Contractor</w:t>
      </w:r>
      <w:r w:rsidRPr="000700C3">
        <w:rPr>
          <w:rFonts w:cstheme="minorHAnsi"/>
          <w:szCs w:val="24"/>
        </w:rPr>
        <w:t xml:space="preserve"> employees who have or will have access to HHS information systems or data:  The Contractor shall provide the COTR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position sensitivity level. </w:t>
      </w:r>
    </w:p>
    <w:p w14:paraId="1F42137C" w14:textId="6A1DFDB3" w:rsidR="008C7BFF" w:rsidRPr="000700C3" w:rsidRDefault="008C7BFF" w:rsidP="00BF669A">
      <w:pPr>
        <w:numPr>
          <w:ilvl w:val="4"/>
          <w:numId w:val="17"/>
        </w:numPr>
        <w:tabs>
          <w:tab w:val="clear" w:pos="4320"/>
        </w:tabs>
        <w:spacing w:after="120" w:line="240" w:lineRule="auto"/>
        <w:ind w:left="1440"/>
        <w:rPr>
          <w:rFonts w:cstheme="minorHAnsi"/>
          <w:szCs w:val="24"/>
        </w:rPr>
      </w:pPr>
      <w:r w:rsidRPr="000700C3">
        <w:rPr>
          <w:rFonts w:cstheme="minorHAnsi"/>
          <w:szCs w:val="24"/>
        </w:rPr>
        <w:lastRenderedPageBreak/>
        <w:t xml:space="preserve"> Departing</w:t>
      </w:r>
      <w:r w:rsidR="00FA4D23">
        <w:rPr>
          <w:rFonts w:cstheme="minorHAnsi"/>
          <w:szCs w:val="24"/>
        </w:rPr>
        <w:t xml:space="preserve"> Contractor</w:t>
      </w:r>
      <w:r w:rsidRPr="000700C3">
        <w:rPr>
          <w:rFonts w:cstheme="minorHAnsi"/>
          <w:szCs w:val="24"/>
        </w:rPr>
        <w:t xml:space="preserve"> employees:   The Contractor shall provide the COTR with the name, position title, and position sensitivity level held by or pending for departing employees.  The Contractor shall perform and document the actions identified in the Contractor Employee Separation Checklist </w:t>
      </w:r>
      <w:r w:rsidR="006719D8">
        <w:rPr>
          <w:rFonts w:cstheme="minorHAnsi"/>
          <w:szCs w:val="24"/>
        </w:rPr>
        <w:t xml:space="preserve">found at: </w:t>
      </w:r>
      <w:hyperlink r:id="rId21" w:history="1">
        <w:r w:rsidR="006719D8" w:rsidRPr="006719D8">
          <w:rPr>
            <w:rStyle w:val="Hyperlink"/>
            <w:rFonts w:cstheme="minorHAnsi"/>
            <w:szCs w:val="24"/>
          </w:rPr>
          <w:t>https://ocio.nih.gov/aboutus/publicinfosecurity/acquisition/Documents/Emp-sep-checklist.pdf</w:t>
        </w:r>
      </w:hyperlink>
      <w:r w:rsidR="006719D8">
        <w:rPr>
          <w:rFonts w:cstheme="minorHAnsi"/>
          <w:szCs w:val="24"/>
        </w:rPr>
        <w:t xml:space="preserve"> </w:t>
      </w:r>
      <w:r w:rsidR="00C710E6">
        <w:rPr>
          <w:rFonts w:cstheme="minorHAnsi"/>
          <w:szCs w:val="24"/>
        </w:rPr>
        <w:t xml:space="preserve"> </w:t>
      </w:r>
      <w:r w:rsidRPr="000700C3">
        <w:rPr>
          <w:rFonts w:cstheme="minorHAnsi"/>
          <w:szCs w:val="24"/>
        </w:rPr>
        <w:t>when a Contractor/subcontractor employee terminates work under this contract.  All documentation shall be made available to the COTR upon request. </w:t>
      </w:r>
    </w:p>
    <w:p w14:paraId="44F24B05" w14:textId="5BB9D632" w:rsidR="008C7BFF" w:rsidRPr="000700C3" w:rsidRDefault="008C7BFF" w:rsidP="00BF669A">
      <w:pPr>
        <w:numPr>
          <w:ilvl w:val="4"/>
          <w:numId w:val="17"/>
        </w:numPr>
        <w:tabs>
          <w:tab w:val="clear" w:pos="4320"/>
        </w:tabs>
        <w:spacing w:after="120" w:line="240" w:lineRule="auto"/>
        <w:ind w:left="1440"/>
        <w:rPr>
          <w:rFonts w:cstheme="minorHAnsi"/>
          <w:szCs w:val="24"/>
        </w:rPr>
      </w:pPr>
      <w:r w:rsidRPr="000700C3">
        <w:rPr>
          <w:rFonts w:cstheme="minorHAnsi"/>
          <w:szCs w:val="24"/>
        </w:rPr>
        <w:t xml:space="preserve">Commitment to Protect Non-Public Departmental Information and Data. </w:t>
      </w:r>
      <w:r w:rsidRPr="000700C3">
        <w:rPr>
          <w:rFonts w:cstheme="minorHAnsi"/>
          <w:szCs w:val="24"/>
        </w:rP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rsidRPr="000700C3">
        <w:rPr>
          <w:rFonts w:cstheme="minorHAnsi"/>
          <w:szCs w:val="24"/>
        </w:rPr>
        <w:br/>
      </w:r>
      <w:r w:rsidRPr="000700C3">
        <w:rPr>
          <w:rFonts w:cstheme="minorHAnsi"/>
          <w:szCs w:val="24"/>
        </w:rPr>
        <w:br/>
        <w:t>- 18 U.S.C. 641 (Criminal Code: Public Money, Property or Records)</w:t>
      </w:r>
      <w:r w:rsidRPr="000700C3">
        <w:rPr>
          <w:rFonts w:cstheme="minorHAnsi"/>
          <w:szCs w:val="24"/>
        </w:rPr>
        <w:br/>
        <w:t>- 18 U.S.C. 1905 (Criminal Code: Disclosure of Confidential Information)</w:t>
      </w:r>
      <w:r w:rsidRPr="000700C3">
        <w:rPr>
          <w:rFonts w:cstheme="minorHAnsi"/>
          <w:szCs w:val="24"/>
        </w:rPr>
        <w:br/>
        <w:t>- Public Law 96-511 (Paperwork Reduction Act)</w:t>
      </w:r>
      <w:r w:rsidRPr="000700C3">
        <w:rPr>
          <w:rFonts w:cstheme="minorHAnsi"/>
          <w:szCs w:val="24"/>
        </w:rPr>
        <w:br/>
      </w:r>
      <w:r w:rsidRPr="000700C3">
        <w:rPr>
          <w:rFonts w:cstheme="minorHAnsi"/>
          <w:szCs w:val="24"/>
        </w:rPr>
        <w:br/>
        <w:t>Each employee, including subcontractors, having access to non-public Department information under this acquisition shall complete the "Commitment to Protect Non-Public Information - Contractor Employee Agreement" located at: </w:t>
      </w:r>
      <w:r w:rsidR="00D43FEF" w:rsidRPr="00D43FEF">
        <w:rPr>
          <w:rFonts w:cstheme="minorHAnsi"/>
          <w:szCs w:val="24"/>
        </w:rPr>
        <w:t xml:space="preserve"> </w:t>
      </w:r>
      <w:hyperlink r:id="rId22" w:history="1">
        <w:r w:rsidR="00F87E73" w:rsidRPr="00B40D30">
          <w:rPr>
            <w:rFonts w:ascii="Calibri" w:hAnsi="Calibri" w:cs="Times New Roman"/>
            <w:szCs w:val="24"/>
          </w:rPr>
          <w:t xml:space="preserve"> </w:t>
        </w:r>
        <w:r w:rsidR="00F87E73" w:rsidRPr="00B40D30">
          <w:rPr>
            <w:rFonts w:ascii="Calibri" w:hAnsi="Calibri" w:cs="Times New Roman"/>
            <w:color w:val="2B60DE"/>
            <w:szCs w:val="24"/>
            <w:u w:val="single"/>
          </w:rPr>
          <w:t>http://oamp.od.nih.gov/sites/default/files/DGS/contracting-f</w:t>
        </w:r>
        <w:r w:rsidR="00F87E73" w:rsidRPr="00B40D30">
          <w:rPr>
            <w:rFonts w:ascii="Calibri" w:hAnsi="Calibri" w:cs="Times New Roman"/>
            <w:color w:val="2B60DE"/>
            <w:szCs w:val="24"/>
            <w:u w:val="single"/>
          </w:rPr>
          <w:t>o</w:t>
        </w:r>
        <w:r w:rsidR="00F87E73" w:rsidRPr="00B40D30">
          <w:rPr>
            <w:rFonts w:ascii="Calibri" w:hAnsi="Calibri" w:cs="Times New Roman"/>
            <w:color w:val="2B60DE"/>
            <w:szCs w:val="24"/>
            <w:u w:val="single"/>
          </w:rPr>
          <w:t>rms/Nondisclosure.pdf</w:t>
        </w:r>
        <w:r w:rsidR="00F87E73" w:rsidRPr="00B40D30">
          <w:rPr>
            <w:rFonts w:ascii="Calibri" w:hAnsi="Calibri" w:cs="Times New Roman"/>
            <w:szCs w:val="24"/>
          </w:rPr>
          <w:t xml:space="preserve"> </w:t>
        </w:r>
      </w:hyperlink>
      <w:r w:rsidRPr="000700C3">
        <w:rPr>
          <w:rFonts w:cstheme="minorHAnsi"/>
          <w:szCs w:val="24"/>
        </w:rPr>
        <w:t>.  A copy of each signed and witnessed Non-Disclosure agreement shall be submitted to the Project Officer/COTR prior to performing any work under this acquisition.</w:t>
      </w:r>
    </w:p>
    <w:p w14:paraId="1E34E9E4" w14:textId="77777777" w:rsidR="008C7BFF" w:rsidRPr="0015636C" w:rsidRDefault="008C7BFF" w:rsidP="0015636C">
      <w:pPr>
        <w:pStyle w:val="FieldNumb01"/>
        <w:numPr>
          <w:ilvl w:val="0"/>
          <w:numId w:val="17"/>
        </w:numPr>
        <w:tabs>
          <w:tab w:val="clear" w:pos="1440"/>
        </w:tabs>
        <w:spacing w:after="120"/>
        <w:ind w:left="720"/>
        <w:jc w:val="both"/>
        <w:rPr>
          <w:rFonts w:asciiTheme="minorHAnsi" w:hAnsiTheme="minorHAnsi" w:cstheme="minorHAnsi"/>
          <w:u w:val="single"/>
        </w:rPr>
      </w:pPr>
      <w:r w:rsidRPr="0015636C">
        <w:rPr>
          <w:rFonts w:asciiTheme="minorHAnsi" w:hAnsiTheme="minorHAnsi" w:cstheme="minorHAnsi"/>
          <w:u w:val="single"/>
        </w:rPr>
        <w:t>Loss and/or Disclosure of Personally Identifiable Information (PII) – Notification of Data Breach</w:t>
      </w:r>
    </w:p>
    <w:p w14:paraId="0623404E" w14:textId="7D5DD1EC" w:rsidR="0015636C" w:rsidRDefault="008C7BFF" w:rsidP="00DA05DE">
      <w:pPr>
        <w:numPr>
          <w:ilvl w:val="12"/>
          <w:numId w:val="0"/>
        </w:numPr>
        <w:spacing w:after="0" w:line="240" w:lineRule="auto"/>
        <w:ind w:left="720"/>
        <w:rPr>
          <w:rFonts w:cstheme="minorHAnsi"/>
          <w:szCs w:val="24"/>
        </w:rPr>
      </w:pPr>
      <w:r w:rsidRPr="000700C3">
        <w:rPr>
          <w:rFonts w:cstheme="minorHAnsi"/>
          <w:szCs w:val="24"/>
        </w:rPr>
        <w:t>The Contractor shall report all suspected or confirmed incidents involving the loss and/or disclosure of PII in electronic or physical form.  Notification shall be made to the NIH Incident Response Team via email (</w:t>
      </w:r>
      <w:hyperlink r:id="rId23" w:history="1">
        <w:r w:rsidR="00D43FEF" w:rsidRPr="00CF576F">
          <w:rPr>
            <w:rStyle w:val="Hyperlink"/>
            <w:rFonts w:cstheme="minorHAnsi"/>
            <w:szCs w:val="24"/>
          </w:rPr>
          <w:t>IRT@m</w:t>
        </w:r>
        <w:r w:rsidR="00D43FEF" w:rsidRPr="00CF576F">
          <w:rPr>
            <w:rStyle w:val="Hyperlink"/>
            <w:rFonts w:cstheme="minorHAnsi"/>
            <w:szCs w:val="24"/>
          </w:rPr>
          <w:t>a</w:t>
        </w:r>
        <w:r w:rsidR="00D43FEF" w:rsidRPr="00CF576F">
          <w:rPr>
            <w:rStyle w:val="Hyperlink"/>
            <w:rFonts w:cstheme="minorHAnsi"/>
            <w:szCs w:val="24"/>
          </w:rPr>
          <w:t>il.nih.gov</w:t>
        </w:r>
      </w:hyperlink>
      <w:r w:rsidRPr="000700C3">
        <w:rPr>
          <w:rFonts w:cstheme="minorHAnsi"/>
          <w:szCs w:val="24"/>
        </w:rPr>
        <w:t xml:space="preserve">) within one hour of discovering the incident.  </w:t>
      </w:r>
      <w:r w:rsidR="007847D6">
        <w:rPr>
          <w:rFonts w:cstheme="minorHAnsi"/>
          <w:szCs w:val="24"/>
        </w:rPr>
        <w:t xml:space="preserve">Policy found at: </w:t>
      </w:r>
      <w:hyperlink r:id="rId24" w:history="1">
        <w:r w:rsidR="007847D6" w:rsidRPr="00CF576F">
          <w:rPr>
            <w:rStyle w:val="Hyperlink"/>
            <w:rFonts w:cstheme="minorHAnsi"/>
            <w:szCs w:val="24"/>
          </w:rPr>
          <w:t>https://oma.od.nih.gov/DMS/Pages/Privacy-Program-Privacy-Incidents-and-Breach-Response.aspx</w:t>
        </w:r>
      </w:hyperlink>
      <w:r w:rsidR="007847D6">
        <w:rPr>
          <w:rFonts w:cstheme="minorHAnsi"/>
          <w:szCs w:val="24"/>
        </w:rPr>
        <w:t xml:space="preserve"> . </w:t>
      </w:r>
    </w:p>
    <w:p w14:paraId="134B3EF4" w14:textId="77777777" w:rsidR="00DA05DE" w:rsidRDefault="00DA05DE" w:rsidP="00DA05DE">
      <w:pPr>
        <w:numPr>
          <w:ilvl w:val="12"/>
          <w:numId w:val="0"/>
        </w:numPr>
        <w:spacing w:after="0" w:line="240" w:lineRule="auto"/>
        <w:ind w:left="720"/>
        <w:rPr>
          <w:rFonts w:cstheme="minorHAnsi"/>
          <w:szCs w:val="24"/>
        </w:rPr>
      </w:pPr>
    </w:p>
    <w:p w14:paraId="2A292698" w14:textId="4C385E6B" w:rsidR="008C7BFF" w:rsidRPr="00DA05DE" w:rsidRDefault="008C7BFF" w:rsidP="00DA05DE">
      <w:pPr>
        <w:pStyle w:val="ListParagraph"/>
        <w:numPr>
          <w:ilvl w:val="0"/>
          <w:numId w:val="17"/>
        </w:numPr>
        <w:tabs>
          <w:tab w:val="clear" w:pos="1440"/>
        </w:tabs>
        <w:spacing w:after="120" w:line="240" w:lineRule="auto"/>
        <w:ind w:left="720"/>
        <w:rPr>
          <w:rFonts w:cstheme="minorHAnsi"/>
          <w:szCs w:val="24"/>
          <w:u w:val="single"/>
        </w:rPr>
      </w:pPr>
      <w:r w:rsidRPr="00DA05DE">
        <w:rPr>
          <w:rFonts w:cstheme="minorHAnsi"/>
          <w:szCs w:val="24"/>
          <w:u w:val="single"/>
        </w:rPr>
        <w:t>Vulnerability Scanning Requirements</w:t>
      </w:r>
    </w:p>
    <w:p w14:paraId="07BA6EE9" w14:textId="77777777" w:rsidR="008C7BFF" w:rsidRPr="000700C3" w:rsidRDefault="008C7BFF" w:rsidP="00BF669A">
      <w:pPr>
        <w:spacing w:after="120" w:line="240" w:lineRule="auto"/>
        <w:ind w:left="720"/>
        <w:rPr>
          <w:rFonts w:cstheme="minorHAnsi"/>
          <w:szCs w:val="24"/>
        </w:rPr>
      </w:pPr>
      <w:r w:rsidRPr="000700C3">
        <w:rPr>
          <w:rFonts w:cstheme="minorHAnsi"/>
          <w:szCs w:val="24"/>
        </w:rP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25" w:anchor="w1" w:tooltip="Link to the SANS Top-20 Internet Security Attack List" w:history="1">
        <w:r w:rsidR="00BB68C0" w:rsidRPr="00C32A67">
          <w:rPr>
            <w:rStyle w:val="Hyperlink"/>
            <w:rFonts w:cstheme="minorHAnsi"/>
            <w:szCs w:val="24"/>
          </w:rPr>
          <w:t>http://www.sans.org/</w:t>
        </w:r>
        <w:r w:rsidR="00BB68C0" w:rsidRPr="00C32A67">
          <w:rPr>
            <w:rStyle w:val="Hyperlink"/>
            <w:rFonts w:cstheme="minorHAnsi"/>
            <w:szCs w:val="24"/>
          </w:rPr>
          <w:t>t</w:t>
        </w:r>
        <w:r w:rsidR="00BB68C0" w:rsidRPr="00C32A67">
          <w:rPr>
            <w:rStyle w:val="Hyperlink"/>
            <w:rFonts w:cstheme="minorHAnsi"/>
            <w:szCs w:val="24"/>
          </w:rPr>
          <w:t>op20/?ref=3706#w1</w:t>
        </w:r>
      </w:hyperlink>
      <w:r w:rsidRPr="000700C3">
        <w:rPr>
          <w:rFonts w:cstheme="minorHAnsi"/>
          <w:szCs w:val="24"/>
        </w:rPr>
        <w:t>).  The Contractor shall report the results of these scans to the Project Officer/COTR on a monthly basis, with reports due 10 calendar days following the end of each reporting period.  The Contractor shall ensure that all of its subcontractors (at all tiers), where applicable, comply with the above requirements.</w:t>
      </w:r>
    </w:p>
    <w:p w14:paraId="163DA462" w14:textId="77777777" w:rsidR="008C7BFF" w:rsidRPr="000700C3" w:rsidRDefault="008C7BFF" w:rsidP="00BF669A">
      <w:pPr>
        <w:pStyle w:val="ListParagraph"/>
        <w:spacing w:after="120" w:line="240" w:lineRule="auto"/>
        <w:rPr>
          <w:rFonts w:cstheme="minorHAnsi"/>
          <w:szCs w:val="24"/>
        </w:rPr>
      </w:pPr>
    </w:p>
    <w:p w14:paraId="55D7FEDE" w14:textId="77777777" w:rsidR="004B2EFC" w:rsidRPr="000700C3" w:rsidRDefault="004B2EFC" w:rsidP="00BF669A">
      <w:pPr>
        <w:spacing w:after="120" w:line="240" w:lineRule="auto"/>
        <w:rPr>
          <w:rFonts w:cstheme="minorHAnsi"/>
          <w:szCs w:val="24"/>
        </w:rPr>
      </w:pPr>
    </w:p>
    <w:sectPr w:rsidR="004B2EFC" w:rsidRPr="000700C3" w:rsidSect="00EA13BC">
      <w:footerReference w:type="default" r:id="rId26"/>
      <w:pgSz w:w="12240" w:h="15840"/>
      <w:pgMar w:top="720" w:right="1080" w:bottom="720" w:left="108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678D" w14:textId="77777777" w:rsidR="00867799" w:rsidRDefault="00867799" w:rsidP="00F20406">
      <w:pPr>
        <w:spacing w:after="0" w:line="240" w:lineRule="auto"/>
      </w:pPr>
      <w:r>
        <w:separator/>
      </w:r>
    </w:p>
  </w:endnote>
  <w:endnote w:type="continuationSeparator" w:id="0">
    <w:p w14:paraId="3C992B82" w14:textId="77777777" w:rsidR="00867799" w:rsidRDefault="00867799" w:rsidP="00F2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OLANA+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EAE2" w14:textId="1773692A" w:rsidR="00BF669A" w:rsidRPr="000700C3" w:rsidRDefault="00BF669A" w:rsidP="003D74E8">
    <w:pPr>
      <w:pStyle w:val="Footer"/>
      <w:tabs>
        <w:tab w:val="clear" w:pos="9360"/>
        <w:tab w:val="right" w:pos="10080"/>
      </w:tabs>
      <w:rPr>
        <w:rFonts w:cstheme="minorHAnsi"/>
        <w:szCs w:val="24"/>
      </w:rPr>
    </w:pPr>
    <w:r w:rsidRPr="000700C3">
      <w:rPr>
        <w:rFonts w:cstheme="minorHAnsi"/>
        <w:szCs w:val="24"/>
      </w:rPr>
      <w:t>Federal Information and Information Systems</w:t>
    </w:r>
    <w:r w:rsidRPr="000700C3">
      <w:rPr>
        <w:rFonts w:cstheme="minorHAnsi"/>
        <w:szCs w:val="24"/>
      </w:rPr>
      <w:tab/>
      <w:t xml:space="preserve"> - </w:t>
    </w:r>
    <w:r w:rsidR="008E4F14">
      <w:rPr>
        <w:rFonts w:cstheme="minorHAnsi"/>
        <w:szCs w:val="24"/>
      </w:rPr>
      <w:t>7</w:t>
    </w:r>
    <w:r w:rsidRPr="000700C3">
      <w:rPr>
        <w:rFonts w:cstheme="minorHAnsi"/>
        <w:szCs w:val="24"/>
      </w:rPr>
      <w:t>/</w:t>
    </w:r>
    <w:r w:rsidR="008E4F14" w:rsidRPr="000700C3">
      <w:rPr>
        <w:rFonts w:cstheme="minorHAnsi"/>
        <w:szCs w:val="24"/>
      </w:rPr>
      <w:t>20</w:t>
    </w:r>
    <w:r w:rsidR="008E4F14">
      <w:rPr>
        <w:rFonts w:cstheme="minorHAnsi"/>
        <w:szCs w:val="24"/>
      </w:rPr>
      <w:t>21</w:t>
    </w:r>
  </w:p>
  <w:p w14:paraId="7E7BC6AD" w14:textId="77777777" w:rsidR="00BF669A" w:rsidRPr="000700C3" w:rsidRDefault="00BF669A" w:rsidP="00EF38A1">
    <w:pPr>
      <w:pStyle w:val="Footer"/>
      <w:tabs>
        <w:tab w:val="left" w:pos="0"/>
      </w:tabs>
      <w:jc w:val="right"/>
      <w:rPr>
        <w:rFonts w:cstheme="minorHAnsi"/>
        <w:szCs w:val="24"/>
      </w:rPr>
    </w:pPr>
    <w:r w:rsidRPr="000700C3">
      <w:rPr>
        <w:rFonts w:cstheme="minorHAnsi"/>
        <w:szCs w:val="24"/>
      </w:rPr>
      <w:t xml:space="preserve">Page </w:t>
    </w:r>
    <w:r w:rsidRPr="000700C3">
      <w:rPr>
        <w:rFonts w:cstheme="minorHAnsi"/>
        <w:b/>
        <w:szCs w:val="24"/>
      </w:rPr>
      <w:fldChar w:fldCharType="begin"/>
    </w:r>
    <w:r w:rsidRPr="000700C3">
      <w:rPr>
        <w:rFonts w:cstheme="minorHAnsi"/>
        <w:b/>
        <w:szCs w:val="24"/>
      </w:rPr>
      <w:instrText xml:space="preserve"> PAGE </w:instrText>
    </w:r>
    <w:r w:rsidRPr="000700C3">
      <w:rPr>
        <w:rFonts w:cstheme="minorHAnsi"/>
        <w:b/>
        <w:szCs w:val="24"/>
      </w:rPr>
      <w:fldChar w:fldCharType="separate"/>
    </w:r>
    <w:r w:rsidR="00493AB2">
      <w:rPr>
        <w:rFonts w:cstheme="minorHAnsi"/>
        <w:b/>
        <w:noProof/>
        <w:szCs w:val="24"/>
      </w:rPr>
      <w:t>1</w:t>
    </w:r>
    <w:r w:rsidRPr="000700C3">
      <w:rPr>
        <w:rFonts w:cstheme="minorHAnsi"/>
        <w:b/>
        <w:szCs w:val="24"/>
      </w:rPr>
      <w:fldChar w:fldCharType="end"/>
    </w:r>
    <w:r w:rsidRPr="000700C3">
      <w:rPr>
        <w:rFonts w:cstheme="minorHAnsi"/>
        <w:szCs w:val="24"/>
      </w:rPr>
      <w:t xml:space="preserve"> of </w:t>
    </w:r>
    <w:r w:rsidRPr="000700C3">
      <w:rPr>
        <w:rFonts w:cstheme="minorHAnsi"/>
        <w:b/>
        <w:szCs w:val="24"/>
      </w:rPr>
      <w:fldChar w:fldCharType="begin"/>
    </w:r>
    <w:r w:rsidRPr="000700C3">
      <w:rPr>
        <w:rFonts w:cstheme="minorHAnsi"/>
        <w:b/>
        <w:szCs w:val="24"/>
      </w:rPr>
      <w:instrText xml:space="preserve"> NUMPAGES  </w:instrText>
    </w:r>
    <w:r w:rsidRPr="000700C3">
      <w:rPr>
        <w:rFonts w:cstheme="minorHAnsi"/>
        <w:b/>
        <w:szCs w:val="24"/>
      </w:rPr>
      <w:fldChar w:fldCharType="separate"/>
    </w:r>
    <w:r w:rsidR="00493AB2">
      <w:rPr>
        <w:rFonts w:cstheme="minorHAnsi"/>
        <w:b/>
        <w:noProof/>
        <w:szCs w:val="24"/>
      </w:rPr>
      <w:t>9</w:t>
    </w:r>
    <w:r w:rsidRPr="000700C3">
      <w:rPr>
        <w:rFonts w:cstheme="minorHAnsi"/>
        <w:b/>
        <w:szCs w:val="24"/>
      </w:rPr>
      <w:fldChar w:fldCharType="end"/>
    </w:r>
  </w:p>
  <w:p w14:paraId="6D81CE3C" w14:textId="77777777" w:rsidR="00BF669A" w:rsidRPr="009100CD" w:rsidRDefault="00BF669A" w:rsidP="003D74E8">
    <w:pPr>
      <w:pStyle w:val="Footer"/>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66C05" w14:textId="77777777" w:rsidR="00867799" w:rsidRDefault="00867799" w:rsidP="00F20406">
      <w:pPr>
        <w:spacing w:after="0" w:line="240" w:lineRule="auto"/>
      </w:pPr>
      <w:r>
        <w:separator/>
      </w:r>
    </w:p>
  </w:footnote>
  <w:footnote w:type="continuationSeparator" w:id="0">
    <w:p w14:paraId="42E70892" w14:textId="77777777" w:rsidR="00867799" w:rsidRDefault="00867799" w:rsidP="00F2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F7B"/>
    <w:multiLevelType w:val="multilevel"/>
    <w:tmpl w:val="215AEC16"/>
    <w:lvl w:ilvl="0">
      <w:start w:val="8"/>
      <w:numFmt w:val="lowerLetter"/>
      <w:lvlText w:val="%1."/>
      <w:lvlJc w:val="left"/>
      <w:pPr>
        <w:tabs>
          <w:tab w:val="num" w:pos="1440"/>
        </w:tabs>
        <w:ind w:left="1440" w:hanging="360"/>
      </w:pPr>
      <w:rPr>
        <w:rFonts w:hint="default"/>
        <w:b w:val="0"/>
        <w:bCs/>
      </w:rPr>
    </w:lvl>
    <w:lvl w:ilvl="1">
      <w:start w:val="1"/>
      <w:numFmt w:val="lowerLetter"/>
      <w:lvlText w:val="%2."/>
      <w:lvlJc w:val="left"/>
      <w:pPr>
        <w:tabs>
          <w:tab w:val="num" w:pos="2160"/>
        </w:tabs>
        <w:ind w:left="2160" w:hanging="360"/>
      </w:pPr>
      <w:rPr>
        <w:rFonts w:hint="default"/>
      </w:rPr>
    </w:lvl>
    <w:lvl w:ilvl="2">
      <w:start w:val="1"/>
      <w:numFmt w:val="lowerLetter"/>
      <w:lvlText w:val="%3."/>
      <w:lvlJc w:val="right"/>
      <w:pPr>
        <w:tabs>
          <w:tab w:val="num" w:pos="2880"/>
        </w:tabs>
        <w:ind w:left="2880" w:hanging="180"/>
      </w:pPr>
      <w:rPr>
        <w:rFonts w:ascii="Arial" w:eastAsia="Calibri" w:hAnsi="Arial" w:cs="Arial"/>
      </w:rPr>
    </w:lvl>
    <w:lvl w:ilvl="3">
      <w:start w:val="1"/>
      <w:numFmt w:val="lowerLetter"/>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ascii="Arial" w:eastAsia="Calibri" w:hAnsi="Arial" w:cs="Arial" w:hint="default"/>
      </w:rPr>
    </w:lvl>
    <w:lvl w:ilvl="5">
      <w:start w:val="1"/>
      <w:numFmt w:val="lowerLetter"/>
      <w:lvlText w:val="%6."/>
      <w:lvlJc w:val="right"/>
      <w:pPr>
        <w:tabs>
          <w:tab w:val="num" w:pos="5040"/>
        </w:tabs>
        <w:ind w:left="5040" w:hanging="18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right"/>
      <w:pPr>
        <w:tabs>
          <w:tab w:val="num" w:pos="7200"/>
        </w:tabs>
        <w:ind w:left="7200" w:hanging="180"/>
      </w:pPr>
      <w:rPr>
        <w:rFonts w:hint="default"/>
      </w:rPr>
    </w:lvl>
  </w:abstractNum>
  <w:abstractNum w:abstractNumId="1" w15:restartNumberingAfterBreak="0">
    <w:nsid w:val="059676F7"/>
    <w:multiLevelType w:val="hybridMultilevel"/>
    <w:tmpl w:val="73B68CF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17CB"/>
    <w:multiLevelType w:val="hybridMultilevel"/>
    <w:tmpl w:val="9BDA7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281250D"/>
    <w:multiLevelType w:val="multilevel"/>
    <w:tmpl w:val="251C02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right"/>
      <w:pPr>
        <w:tabs>
          <w:tab w:val="num" w:pos="3960"/>
        </w:tabs>
        <w:ind w:left="3960" w:hanging="18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right"/>
      <w:pPr>
        <w:tabs>
          <w:tab w:val="num" w:pos="6120"/>
        </w:tabs>
        <w:ind w:left="6120" w:hanging="180"/>
      </w:pPr>
    </w:lvl>
  </w:abstractNum>
  <w:abstractNum w:abstractNumId="4" w15:restartNumberingAfterBreak="0">
    <w:nsid w:val="153E0ECD"/>
    <w:multiLevelType w:val="multilevel"/>
    <w:tmpl w:val="F36E7146"/>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5" w15:restartNumberingAfterBreak="0">
    <w:nsid w:val="23872469"/>
    <w:multiLevelType w:val="multilevel"/>
    <w:tmpl w:val="688E95B0"/>
    <w:lvl w:ilvl="0">
      <w:start w:val="2"/>
      <w:numFmt w:val="decimal"/>
      <w:lvlText w:val="%1."/>
      <w:lvlJc w:val="left"/>
      <w:pPr>
        <w:tabs>
          <w:tab w:val="num" w:pos="720"/>
        </w:tabs>
        <w:ind w:left="720" w:hanging="360"/>
      </w:pPr>
      <w:rPr>
        <w:rFonts w:asciiTheme="minorHAnsi" w:hAnsiTheme="minorHAnsi" w:cstheme="minorHAnsi" w:hint="default"/>
      </w:rPr>
    </w:lvl>
    <w:lvl w:ilvl="1">
      <w:start w:val="4"/>
      <w:numFmt w:val="upperLetter"/>
      <w:lvlText w:val="%2."/>
      <w:lvlJc w:val="left"/>
      <w:pPr>
        <w:tabs>
          <w:tab w:val="num" w:pos="1440"/>
        </w:tabs>
        <w:ind w:left="1440" w:hanging="360"/>
      </w:pPr>
      <w:rPr>
        <w:rFonts w:hint="default"/>
      </w:rPr>
    </w:lvl>
    <w:lvl w:ilvl="2">
      <w:start w:val="4"/>
      <w:numFmt w:val="upperLetter"/>
      <w:lvlText w:val="%3."/>
      <w:lvlJc w:val="right"/>
      <w:pPr>
        <w:tabs>
          <w:tab w:val="num" w:pos="2160"/>
        </w:tabs>
        <w:ind w:left="2160" w:hanging="180"/>
      </w:pPr>
      <w:rPr>
        <w:rFonts w:hint="default"/>
      </w:rPr>
    </w:lvl>
    <w:lvl w:ilvl="3">
      <w:start w:val="4"/>
      <w:numFmt w:val="upperLetter"/>
      <w:lvlText w:val="%4."/>
      <w:lvlJc w:val="left"/>
      <w:pPr>
        <w:tabs>
          <w:tab w:val="num" w:pos="2880"/>
        </w:tabs>
        <w:ind w:left="2880" w:hanging="360"/>
      </w:pPr>
      <w:rPr>
        <w:rFonts w:hint="default"/>
      </w:rPr>
    </w:lvl>
    <w:lvl w:ilvl="4">
      <w:start w:val="4"/>
      <w:numFmt w:val="upperLetter"/>
      <w:lvlText w:val="%5."/>
      <w:lvlJc w:val="left"/>
      <w:pPr>
        <w:tabs>
          <w:tab w:val="num" w:pos="3600"/>
        </w:tabs>
        <w:ind w:left="3600" w:hanging="360"/>
      </w:pPr>
      <w:rPr>
        <w:rFonts w:hint="default"/>
      </w:rPr>
    </w:lvl>
    <w:lvl w:ilvl="5">
      <w:start w:val="4"/>
      <w:numFmt w:val="upperLetter"/>
      <w:lvlText w:val="%6."/>
      <w:lvlJc w:val="right"/>
      <w:pPr>
        <w:tabs>
          <w:tab w:val="num" w:pos="4320"/>
        </w:tabs>
        <w:ind w:left="4320" w:hanging="180"/>
      </w:pPr>
      <w:rPr>
        <w:rFonts w:hint="default"/>
      </w:rPr>
    </w:lvl>
    <w:lvl w:ilvl="6">
      <w:start w:val="4"/>
      <w:numFmt w:val="upperLetter"/>
      <w:lvlText w:val="%7."/>
      <w:lvlJc w:val="left"/>
      <w:pPr>
        <w:tabs>
          <w:tab w:val="num" w:pos="5040"/>
        </w:tabs>
        <w:ind w:left="5040" w:hanging="360"/>
      </w:pPr>
      <w:rPr>
        <w:rFonts w:hint="default"/>
      </w:rPr>
    </w:lvl>
    <w:lvl w:ilvl="7">
      <w:start w:val="4"/>
      <w:numFmt w:val="upperLetter"/>
      <w:lvlText w:val="%8."/>
      <w:lvlJc w:val="left"/>
      <w:pPr>
        <w:tabs>
          <w:tab w:val="num" w:pos="5760"/>
        </w:tabs>
        <w:ind w:left="5760" w:hanging="360"/>
      </w:pPr>
      <w:rPr>
        <w:rFonts w:hint="default"/>
      </w:rPr>
    </w:lvl>
    <w:lvl w:ilvl="8">
      <w:start w:val="4"/>
      <w:numFmt w:val="upperLetter"/>
      <w:lvlText w:val="%9."/>
      <w:lvlJc w:val="right"/>
      <w:pPr>
        <w:tabs>
          <w:tab w:val="num" w:pos="6480"/>
        </w:tabs>
        <w:ind w:left="6480" w:hanging="180"/>
      </w:pPr>
      <w:rPr>
        <w:rFonts w:hint="default"/>
      </w:rPr>
    </w:lvl>
  </w:abstractNum>
  <w:abstractNum w:abstractNumId="6" w15:restartNumberingAfterBreak="0">
    <w:nsid w:val="26B652C9"/>
    <w:multiLevelType w:val="multilevel"/>
    <w:tmpl w:val="ECAAF58A"/>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7" w15:restartNumberingAfterBreak="0">
    <w:nsid w:val="29277582"/>
    <w:multiLevelType w:val="multilevel"/>
    <w:tmpl w:val="DC3A1B30"/>
    <w:lvl w:ilvl="0">
      <w:start w:val="3"/>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right"/>
      <w:pPr>
        <w:tabs>
          <w:tab w:val="num" w:pos="2880"/>
        </w:tabs>
        <w:ind w:left="2880" w:hanging="180"/>
      </w:pPr>
      <w:rPr>
        <w:rFonts w:hint="default"/>
      </w:rPr>
    </w:lvl>
    <w:lvl w:ilvl="3">
      <w:start w:val="1"/>
      <w:numFmt w:val="lowerLetter"/>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lowerLetter"/>
      <w:lvlText w:val="%6."/>
      <w:lvlJc w:val="right"/>
      <w:pPr>
        <w:tabs>
          <w:tab w:val="num" w:pos="5040"/>
        </w:tabs>
        <w:ind w:left="5040" w:hanging="18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right"/>
      <w:pPr>
        <w:tabs>
          <w:tab w:val="num" w:pos="7200"/>
        </w:tabs>
        <w:ind w:left="7200" w:hanging="180"/>
      </w:pPr>
      <w:rPr>
        <w:rFonts w:hint="default"/>
      </w:rPr>
    </w:lvl>
  </w:abstractNum>
  <w:abstractNum w:abstractNumId="8" w15:restartNumberingAfterBreak="0">
    <w:nsid w:val="33C13EFC"/>
    <w:multiLevelType w:val="hybridMultilevel"/>
    <w:tmpl w:val="087CF268"/>
    <w:lvl w:ilvl="0" w:tplc="675A4F2A">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1455B"/>
    <w:multiLevelType w:val="multilevel"/>
    <w:tmpl w:val="0CD24F0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right"/>
      <w:pPr>
        <w:tabs>
          <w:tab w:val="num" w:pos="6840"/>
        </w:tabs>
        <w:ind w:left="6840" w:hanging="180"/>
      </w:pPr>
    </w:lvl>
  </w:abstractNum>
  <w:abstractNum w:abstractNumId="10" w15:restartNumberingAfterBreak="0">
    <w:nsid w:val="3F611BDF"/>
    <w:multiLevelType w:val="multilevel"/>
    <w:tmpl w:val="3754F6A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A8638B"/>
    <w:multiLevelType w:val="multilevel"/>
    <w:tmpl w:val="8D82331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right"/>
      <w:pPr>
        <w:tabs>
          <w:tab w:val="num" w:pos="4320"/>
        </w:tabs>
        <w:ind w:left="4320" w:hanging="18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right"/>
      <w:pPr>
        <w:tabs>
          <w:tab w:val="num" w:pos="6480"/>
        </w:tabs>
        <w:ind w:left="6480" w:hanging="180"/>
      </w:pPr>
      <w:rPr>
        <w:rFonts w:hint="default"/>
      </w:rPr>
    </w:lvl>
  </w:abstractNum>
  <w:abstractNum w:abstractNumId="12" w15:restartNumberingAfterBreak="0">
    <w:nsid w:val="545B60AC"/>
    <w:multiLevelType w:val="multilevel"/>
    <w:tmpl w:val="EC5C12A8"/>
    <w:lvl w:ilvl="0">
      <w:start w:val="3"/>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lowerRoman"/>
      <w:lvlText w:val="%4."/>
      <w:lvlJc w:val="righ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right"/>
      <w:pPr>
        <w:tabs>
          <w:tab w:val="num" w:pos="3960"/>
        </w:tabs>
        <w:ind w:left="3960" w:hanging="18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right"/>
      <w:pPr>
        <w:tabs>
          <w:tab w:val="num" w:pos="6120"/>
        </w:tabs>
        <w:ind w:left="6120" w:hanging="180"/>
      </w:pPr>
      <w:rPr>
        <w:rFonts w:hint="default"/>
      </w:rPr>
    </w:lvl>
  </w:abstractNum>
  <w:abstractNum w:abstractNumId="13" w15:restartNumberingAfterBreak="0">
    <w:nsid w:val="5EDB47DD"/>
    <w:multiLevelType w:val="multilevel"/>
    <w:tmpl w:val="53A6745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right"/>
      <w:pPr>
        <w:tabs>
          <w:tab w:val="num" w:pos="2880"/>
        </w:tabs>
        <w:ind w:left="2880" w:hanging="180"/>
      </w:pPr>
    </w:lvl>
    <w:lvl w:ilvl="3">
      <w:start w:val="1"/>
      <w:numFmt w:val="lowerLetter"/>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Letter"/>
      <w:lvlText w:val="%6."/>
      <w:lvlJc w:val="right"/>
      <w:pPr>
        <w:tabs>
          <w:tab w:val="num" w:pos="5040"/>
        </w:tabs>
        <w:ind w:left="5040" w:hanging="18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right"/>
      <w:pPr>
        <w:tabs>
          <w:tab w:val="num" w:pos="7200"/>
        </w:tabs>
        <w:ind w:left="7200" w:hanging="180"/>
      </w:pPr>
    </w:lvl>
  </w:abstractNum>
  <w:abstractNum w:abstractNumId="14" w15:restartNumberingAfterBreak="0">
    <w:nsid w:val="68CC18A6"/>
    <w:multiLevelType w:val="multilevel"/>
    <w:tmpl w:val="53A6745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right"/>
      <w:pPr>
        <w:tabs>
          <w:tab w:val="num" w:pos="2880"/>
        </w:tabs>
        <w:ind w:left="2880" w:hanging="180"/>
      </w:pPr>
    </w:lvl>
    <w:lvl w:ilvl="3">
      <w:start w:val="1"/>
      <w:numFmt w:val="lowerLetter"/>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Letter"/>
      <w:lvlText w:val="%6."/>
      <w:lvlJc w:val="right"/>
      <w:pPr>
        <w:tabs>
          <w:tab w:val="num" w:pos="5040"/>
        </w:tabs>
        <w:ind w:left="5040" w:hanging="18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right"/>
      <w:pPr>
        <w:tabs>
          <w:tab w:val="num" w:pos="7200"/>
        </w:tabs>
        <w:ind w:left="7200" w:hanging="180"/>
      </w:pPr>
    </w:lvl>
  </w:abstractNum>
  <w:abstractNum w:abstractNumId="15" w15:restartNumberingAfterBreak="0">
    <w:nsid w:val="705B298D"/>
    <w:multiLevelType w:val="multilevel"/>
    <w:tmpl w:val="B686A600"/>
    <w:lvl w:ilvl="0">
      <w:start w:val="3"/>
      <w:numFmt w:val="decimal"/>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tabs>
          <w:tab w:val="num" w:pos="1440"/>
        </w:tabs>
        <w:ind w:left="1440" w:hanging="360"/>
      </w:pPr>
      <w:rPr>
        <w:rFonts w:hint="default"/>
      </w:rPr>
    </w:lvl>
    <w:lvl w:ilvl="2">
      <w:start w:val="4"/>
      <w:numFmt w:val="upperLetter"/>
      <w:lvlText w:val="%3."/>
      <w:lvlJc w:val="right"/>
      <w:pPr>
        <w:tabs>
          <w:tab w:val="num" w:pos="2160"/>
        </w:tabs>
        <w:ind w:left="2160" w:hanging="180"/>
      </w:pPr>
      <w:rPr>
        <w:rFonts w:hint="default"/>
      </w:rPr>
    </w:lvl>
    <w:lvl w:ilvl="3">
      <w:start w:val="4"/>
      <w:numFmt w:val="upperLetter"/>
      <w:lvlText w:val="%4."/>
      <w:lvlJc w:val="left"/>
      <w:pPr>
        <w:tabs>
          <w:tab w:val="num" w:pos="2880"/>
        </w:tabs>
        <w:ind w:left="2880" w:hanging="360"/>
      </w:pPr>
      <w:rPr>
        <w:rFonts w:hint="default"/>
      </w:rPr>
    </w:lvl>
    <w:lvl w:ilvl="4">
      <w:start w:val="4"/>
      <w:numFmt w:val="upperLetter"/>
      <w:lvlText w:val="%5."/>
      <w:lvlJc w:val="left"/>
      <w:pPr>
        <w:tabs>
          <w:tab w:val="num" w:pos="3600"/>
        </w:tabs>
        <w:ind w:left="3600" w:hanging="360"/>
      </w:pPr>
      <w:rPr>
        <w:rFonts w:hint="default"/>
      </w:rPr>
    </w:lvl>
    <w:lvl w:ilvl="5">
      <w:start w:val="4"/>
      <w:numFmt w:val="upperLetter"/>
      <w:lvlText w:val="%6."/>
      <w:lvlJc w:val="right"/>
      <w:pPr>
        <w:tabs>
          <w:tab w:val="num" w:pos="4320"/>
        </w:tabs>
        <w:ind w:left="4320" w:hanging="180"/>
      </w:pPr>
      <w:rPr>
        <w:rFonts w:hint="default"/>
      </w:rPr>
    </w:lvl>
    <w:lvl w:ilvl="6">
      <w:start w:val="4"/>
      <w:numFmt w:val="upperLetter"/>
      <w:lvlText w:val="%7."/>
      <w:lvlJc w:val="left"/>
      <w:pPr>
        <w:tabs>
          <w:tab w:val="num" w:pos="5040"/>
        </w:tabs>
        <w:ind w:left="5040" w:hanging="360"/>
      </w:pPr>
      <w:rPr>
        <w:rFonts w:hint="default"/>
      </w:rPr>
    </w:lvl>
    <w:lvl w:ilvl="7">
      <w:start w:val="4"/>
      <w:numFmt w:val="upperLetter"/>
      <w:lvlText w:val="%8."/>
      <w:lvlJc w:val="left"/>
      <w:pPr>
        <w:tabs>
          <w:tab w:val="num" w:pos="5760"/>
        </w:tabs>
        <w:ind w:left="5760" w:hanging="360"/>
      </w:pPr>
      <w:rPr>
        <w:rFonts w:hint="default"/>
      </w:rPr>
    </w:lvl>
    <w:lvl w:ilvl="8">
      <w:start w:val="4"/>
      <w:numFmt w:val="upperLetter"/>
      <w:lvlText w:val="%9."/>
      <w:lvlJc w:val="right"/>
      <w:pPr>
        <w:tabs>
          <w:tab w:val="num" w:pos="6480"/>
        </w:tabs>
        <w:ind w:left="6480" w:hanging="180"/>
      </w:pPr>
      <w:rPr>
        <w:rFonts w:hint="default"/>
      </w:rPr>
    </w:lvl>
  </w:abstractNum>
  <w:abstractNum w:abstractNumId="16" w15:restartNumberingAfterBreak="0">
    <w:nsid w:val="70D6152E"/>
    <w:multiLevelType w:val="multilevel"/>
    <w:tmpl w:val="78D6223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right"/>
      <w:pPr>
        <w:tabs>
          <w:tab w:val="num" w:pos="2880"/>
        </w:tabs>
        <w:ind w:left="2880" w:hanging="180"/>
      </w:pPr>
      <w:rPr>
        <w:rFonts w:hint="default"/>
      </w:rPr>
    </w:lvl>
    <w:lvl w:ilvl="3">
      <w:start w:val="1"/>
      <w:numFmt w:val="lowerLetter"/>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lowerLetter"/>
      <w:lvlText w:val="%6."/>
      <w:lvlJc w:val="right"/>
      <w:pPr>
        <w:tabs>
          <w:tab w:val="num" w:pos="5040"/>
        </w:tabs>
        <w:ind w:left="5040" w:hanging="180"/>
      </w:pPr>
      <w:rPr>
        <w:rFonts w:hint="default"/>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Letter"/>
      <w:lvlText w:val="%9."/>
      <w:lvlJc w:val="right"/>
      <w:pPr>
        <w:tabs>
          <w:tab w:val="num" w:pos="7200"/>
        </w:tabs>
        <w:ind w:left="7200" w:hanging="180"/>
      </w:pPr>
      <w:rPr>
        <w:rFonts w:hint="default"/>
      </w:rPr>
    </w:lvl>
  </w:abstractNum>
  <w:abstractNum w:abstractNumId="17" w15:restartNumberingAfterBreak="0">
    <w:nsid w:val="7793092B"/>
    <w:multiLevelType w:val="hybridMultilevel"/>
    <w:tmpl w:val="FF540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B7A46"/>
    <w:multiLevelType w:val="hybridMultilevel"/>
    <w:tmpl w:val="E0301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F675C3"/>
    <w:multiLevelType w:val="hybridMultilevel"/>
    <w:tmpl w:val="1B028EF2"/>
    <w:lvl w:ilvl="0" w:tplc="933834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D6EF8"/>
    <w:multiLevelType w:val="hybridMultilevel"/>
    <w:tmpl w:val="F894DD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12"/>
  </w:num>
  <w:num w:numId="12">
    <w:abstractNumId w:val="4"/>
  </w:num>
  <w:num w:numId="13">
    <w:abstractNumId w:val="0"/>
  </w:num>
  <w:num w:numId="14">
    <w:abstractNumId w:val="1"/>
  </w:num>
  <w:num w:numId="15">
    <w:abstractNumId w:val="19"/>
  </w:num>
  <w:num w:numId="16">
    <w:abstractNumId w:val="18"/>
  </w:num>
  <w:num w:numId="17">
    <w:abstractNumId w:val="7"/>
  </w:num>
  <w:num w:numId="18">
    <w:abstractNumId w:val="13"/>
  </w:num>
  <w:num w:numId="19">
    <w:abstractNumId w:val="17"/>
  </w:num>
  <w:num w:numId="20">
    <w:abstractNumId w:val="16"/>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BFF"/>
    <w:rsid w:val="000700C3"/>
    <w:rsid w:val="0010587B"/>
    <w:rsid w:val="0015636C"/>
    <w:rsid w:val="00161434"/>
    <w:rsid w:val="001C7362"/>
    <w:rsid w:val="0020362E"/>
    <w:rsid w:val="00217E6D"/>
    <w:rsid w:val="002568FA"/>
    <w:rsid w:val="00263D6A"/>
    <w:rsid w:val="002D3F08"/>
    <w:rsid w:val="00340732"/>
    <w:rsid w:val="003D74E8"/>
    <w:rsid w:val="00483332"/>
    <w:rsid w:val="00493AB2"/>
    <w:rsid w:val="004B2EFC"/>
    <w:rsid w:val="00572B2B"/>
    <w:rsid w:val="005B4237"/>
    <w:rsid w:val="00626421"/>
    <w:rsid w:val="00645F13"/>
    <w:rsid w:val="006719D8"/>
    <w:rsid w:val="006978FC"/>
    <w:rsid w:val="007847D6"/>
    <w:rsid w:val="00793EA8"/>
    <w:rsid w:val="007D043B"/>
    <w:rsid w:val="007F5868"/>
    <w:rsid w:val="007F7E9C"/>
    <w:rsid w:val="00867799"/>
    <w:rsid w:val="008C7BFF"/>
    <w:rsid w:val="008E4F14"/>
    <w:rsid w:val="009C5ECA"/>
    <w:rsid w:val="009C65E9"/>
    <w:rsid w:val="009F1C43"/>
    <w:rsid w:val="00A10F5F"/>
    <w:rsid w:val="00A54960"/>
    <w:rsid w:val="00B47281"/>
    <w:rsid w:val="00B9346A"/>
    <w:rsid w:val="00BB1C5E"/>
    <w:rsid w:val="00BB68C0"/>
    <w:rsid w:val="00BF669A"/>
    <w:rsid w:val="00C34239"/>
    <w:rsid w:val="00C710E6"/>
    <w:rsid w:val="00C80FA6"/>
    <w:rsid w:val="00C96E21"/>
    <w:rsid w:val="00CC1423"/>
    <w:rsid w:val="00CD1D17"/>
    <w:rsid w:val="00D43FEF"/>
    <w:rsid w:val="00D5163F"/>
    <w:rsid w:val="00D832E3"/>
    <w:rsid w:val="00DA05DE"/>
    <w:rsid w:val="00E30299"/>
    <w:rsid w:val="00E51B47"/>
    <w:rsid w:val="00E60092"/>
    <w:rsid w:val="00EA13BC"/>
    <w:rsid w:val="00EF38A1"/>
    <w:rsid w:val="00F20406"/>
    <w:rsid w:val="00F266EE"/>
    <w:rsid w:val="00F86B77"/>
    <w:rsid w:val="00F87E73"/>
    <w:rsid w:val="00F96F29"/>
    <w:rsid w:val="00FA4D23"/>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ED1A"/>
  <w15:docId w15:val="{621ED830-DDE3-487C-AD56-EAD95544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3B"/>
    <w:pPr>
      <w:spacing w:after="200" w:line="276" w:lineRule="auto"/>
    </w:pPr>
    <w:rPr>
      <w:rFonts w:asciiTheme="minorHAnsi" w:hAnsiTheme="minorHAnsi"/>
      <w:sz w:val="24"/>
      <w:szCs w:val="22"/>
    </w:rPr>
  </w:style>
  <w:style w:type="paragraph" w:styleId="Heading1">
    <w:name w:val="heading 1"/>
    <w:basedOn w:val="Normal"/>
    <w:next w:val="Normal"/>
    <w:link w:val="Heading1Char"/>
    <w:uiPriority w:val="9"/>
    <w:qFormat/>
    <w:rsid w:val="00EA13BC"/>
    <w:pPr>
      <w:keepNext/>
      <w:keepLines/>
      <w:spacing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7BFF"/>
    <w:pPr>
      <w:ind w:left="720"/>
      <w:contextualSpacing/>
    </w:pPr>
  </w:style>
  <w:style w:type="paragraph" w:styleId="Footer">
    <w:name w:val="footer"/>
    <w:basedOn w:val="Normal"/>
    <w:link w:val="FooterChar"/>
    <w:uiPriority w:val="99"/>
    <w:rsid w:val="008C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BFF"/>
    <w:rPr>
      <w:rFonts w:eastAsia="Calibri"/>
    </w:rPr>
  </w:style>
  <w:style w:type="character" w:styleId="Hyperlink">
    <w:name w:val="Hyperlink"/>
    <w:basedOn w:val="DefaultParagraphFont"/>
    <w:uiPriority w:val="99"/>
    <w:rsid w:val="008C7BFF"/>
    <w:rPr>
      <w:rFonts w:cs="Times New Roman"/>
      <w:color w:val="0000FF"/>
      <w:u w:val="single"/>
    </w:rPr>
  </w:style>
  <w:style w:type="paragraph" w:customStyle="1" w:styleId="Default">
    <w:name w:val="Default"/>
    <w:uiPriority w:val="99"/>
    <w:rsid w:val="008C7BFF"/>
    <w:pPr>
      <w:autoSpaceDE w:val="0"/>
      <w:autoSpaceDN w:val="0"/>
      <w:adjustRightInd w:val="0"/>
    </w:pPr>
    <w:rPr>
      <w:rFonts w:ascii="EOLANA+Arial,Bold" w:hAnsi="EOLANA+Arial,Bold" w:cs="Times New Roman"/>
      <w:color w:val="000000"/>
      <w:sz w:val="24"/>
      <w:szCs w:val="24"/>
    </w:rPr>
  </w:style>
  <w:style w:type="paragraph" w:customStyle="1" w:styleId="FieldNumb01">
    <w:name w:val="Field Numb01"/>
    <w:uiPriority w:val="99"/>
    <w:rsid w:val="008C7BFF"/>
    <w:pPr>
      <w:autoSpaceDE w:val="0"/>
      <w:autoSpaceDN w:val="0"/>
      <w:adjustRightInd w:val="0"/>
      <w:ind w:left="720"/>
    </w:pPr>
    <w:rPr>
      <w:rFonts w:ascii="Times New Roman" w:hAnsi="Times New Roman" w:cs="Times New Roman"/>
      <w:sz w:val="24"/>
      <w:szCs w:val="24"/>
    </w:rPr>
  </w:style>
  <w:style w:type="paragraph" w:styleId="Header">
    <w:name w:val="header"/>
    <w:basedOn w:val="Normal"/>
    <w:link w:val="HeaderChar"/>
    <w:uiPriority w:val="99"/>
    <w:unhideWhenUsed/>
    <w:rsid w:val="00EF38A1"/>
    <w:pPr>
      <w:tabs>
        <w:tab w:val="center" w:pos="4680"/>
        <w:tab w:val="right" w:pos="9360"/>
      </w:tabs>
    </w:pPr>
  </w:style>
  <w:style w:type="character" w:customStyle="1" w:styleId="HeaderChar">
    <w:name w:val="Header Char"/>
    <w:basedOn w:val="DefaultParagraphFont"/>
    <w:link w:val="Header"/>
    <w:uiPriority w:val="99"/>
    <w:rsid w:val="00EF38A1"/>
    <w:rPr>
      <w:sz w:val="22"/>
      <w:szCs w:val="22"/>
    </w:rPr>
  </w:style>
  <w:style w:type="paragraph" w:styleId="Title">
    <w:name w:val="Title"/>
    <w:basedOn w:val="Normal"/>
    <w:next w:val="Normal"/>
    <w:link w:val="TitleChar"/>
    <w:uiPriority w:val="10"/>
    <w:qFormat/>
    <w:rsid w:val="00645F13"/>
    <w:pP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645F13"/>
    <w:rPr>
      <w:rFonts w:asciiTheme="minorHAnsi" w:eastAsiaTheme="majorEastAsia" w:hAnsiTheme="minorHAnsi" w:cstheme="majorBidi"/>
      <w:b/>
      <w:spacing w:val="5"/>
      <w:kern w:val="28"/>
      <w:sz w:val="28"/>
      <w:szCs w:val="52"/>
    </w:rPr>
  </w:style>
  <w:style w:type="character" w:customStyle="1" w:styleId="Heading1Char">
    <w:name w:val="Heading 1 Char"/>
    <w:basedOn w:val="DefaultParagraphFont"/>
    <w:link w:val="Heading1"/>
    <w:uiPriority w:val="9"/>
    <w:rsid w:val="00EA13BC"/>
    <w:rPr>
      <w:rFonts w:asciiTheme="minorHAnsi" w:eastAsiaTheme="majorEastAsia" w:hAnsiTheme="minorHAnsi" w:cstheme="majorBidi"/>
      <w:b/>
      <w:bCs/>
      <w:sz w:val="24"/>
      <w:szCs w:val="28"/>
    </w:rPr>
  </w:style>
  <w:style w:type="character" w:styleId="Strong">
    <w:name w:val="Strong"/>
    <w:basedOn w:val="DefaultParagraphFont"/>
    <w:uiPriority w:val="22"/>
    <w:qFormat/>
    <w:rsid w:val="00EA13BC"/>
    <w:rPr>
      <w:b/>
      <w:bCs/>
    </w:rPr>
  </w:style>
  <w:style w:type="paragraph" w:styleId="BalloonText">
    <w:name w:val="Balloon Text"/>
    <w:basedOn w:val="Normal"/>
    <w:link w:val="BalloonTextChar"/>
    <w:uiPriority w:val="99"/>
    <w:semiHidden/>
    <w:unhideWhenUsed/>
    <w:rsid w:val="00C8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A6"/>
    <w:rPr>
      <w:rFonts w:ascii="Segoe UI" w:hAnsi="Segoe UI" w:cs="Segoe UI"/>
      <w:sz w:val="18"/>
      <w:szCs w:val="18"/>
    </w:rPr>
  </w:style>
  <w:style w:type="character" w:styleId="FollowedHyperlink">
    <w:name w:val="FollowedHyperlink"/>
    <w:basedOn w:val="DefaultParagraphFont"/>
    <w:uiPriority w:val="99"/>
    <w:semiHidden/>
    <w:unhideWhenUsed/>
    <w:rsid w:val="00C80FA6"/>
    <w:rPr>
      <w:color w:val="800080" w:themeColor="followedHyperlink"/>
      <w:u w:val="single"/>
    </w:rPr>
  </w:style>
  <w:style w:type="character" w:styleId="CommentReference">
    <w:name w:val="annotation reference"/>
    <w:basedOn w:val="DefaultParagraphFont"/>
    <w:uiPriority w:val="99"/>
    <w:semiHidden/>
    <w:unhideWhenUsed/>
    <w:rsid w:val="009C5ECA"/>
    <w:rPr>
      <w:sz w:val="16"/>
      <w:szCs w:val="16"/>
    </w:rPr>
  </w:style>
  <w:style w:type="paragraph" w:styleId="CommentText">
    <w:name w:val="annotation text"/>
    <w:basedOn w:val="Normal"/>
    <w:link w:val="CommentTextChar"/>
    <w:uiPriority w:val="99"/>
    <w:semiHidden/>
    <w:unhideWhenUsed/>
    <w:rsid w:val="009C5ECA"/>
    <w:pPr>
      <w:spacing w:line="240" w:lineRule="auto"/>
    </w:pPr>
    <w:rPr>
      <w:sz w:val="20"/>
      <w:szCs w:val="20"/>
    </w:rPr>
  </w:style>
  <w:style w:type="character" w:customStyle="1" w:styleId="CommentTextChar">
    <w:name w:val="Comment Text Char"/>
    <w:basedOn w:val="DefaultParagraphFont"/>
    <w:link w:val="CommentText"/>
    <w:uiPriority w:val="99"/>
    <w:semiHidden/>
    <w:rsid w:val="009C5EC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C5ECA"/>
    <w:rPr>
      <w:b/>
      <w:bCs/>
    </w:rPr>
  </w:style>
  <w:style w:type="character" w:customStyle="1" w:styleId="CommentSubjectChar">
    <w:name w:val="Comment Subject Char"/>
    <w:basedOn w:val="CommentTextChar"/>
    <w:link w:val="CommentSubject"/>
    <w:uiPriority w:val="99"/>
    <w:semiHidden/>
    <w:rsid w:val="009C5ECA"/>
    <w:rPr>
      <w:rFonts w:asciiTheme="minorHAnsi" w:hAnsiTheme="minorHAnsi"/>
      <w:b/>
      <w:bCs/>
    </w:rPr>
  </w:style>
  <w:style w:type="paragraph" w:styleId="Revision">
    <w:name w:val="Revision"/>
    <w:hidden/>
    <w:uiPriority w:val="99"/>
    <w:semiHidden/>
    <w:rsid w:val="00340732"/>
    <w:rPr>
      <w:rFonts w:asciiTheme="minorHAnsi" w:hAnsiTheme="minorHAnsi"/>
      <w:sz w:val="24"/>
      <w:szCs w:val="22"/>
    </w:rPr>
  </w:style>
  <w:style w:type="character" w:styleId="UnresolvedMention">
    <w:name w:val="Unresolved Mention"/>
    <w:basedOn w:val="DefaultParagraphFont"/>
    <w:uiPriority w:val="99"/>
    <w:semiHidden/>
    <w:unhideWhenUsed/>
    <w:rsid w:val="0034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workplace/resources" TargetMode="External"/><Relationship Id="rId13" Type="http://schemas.openxmlformats.org/officeDocument/2006/relationships/hyperlink" Target="http://nvd.nist.gov/fdcc/index.cfm" TargetMode="External"/><Relationship Id="rId18" Type="http://schemas.openxmlformats.org/officeDocument/2006/relationships/hyperlink" Target="%20%20%20%20https://www.hhs.gov/about/agencies/asa/ocio/cybersecurity/security-awareness-training/index.html%2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cio.nih.gov/aboutus/publicinfosecurity/acquisition/Documents/Emp-sep-checklist.pdf" TargetMode="External"/><Relationship Id="rId7" Type="http://schemas.openxmlformats.org/officeDocument/2006/relationships/hyperlink" Target="https://www.hhs.gov/about/agencies/asa/ocio/cybersecurity/information-security-privacy-program/index.html" TargetMode="External"/><Relationship Id="rId12" Type="http://schemas.openxmlformats.org/officeDocument/2006/relationships/hyperlink" Target="http://www.farsmarterbids.com/regs/fars/section.php?sectionID=03520239-70" TargetMode="External"/><Relationship Id="rId17" Type="http://schemas.openxmlformats.org/officeDocument/2006/relationships/hyperlink" Target="http://csrc.nist.gov/publications/PubsSPs.html" TargetMode="External"/><Relationship Id="rId25" Type="http://schemas.openxmlformats.org/officeDocument/2006/relationships/hyperlink" Target="http://www.sans.org/top20/?ref=3706" TargetMode="External"/><Relationship Id="rId2" Type="http://schemas.openxmlformats.org/officeDocument/2006/relationships/styles" Target="styles.xml"/><Relationship Id="rId16" Type="http://schemas.openxmlformats.org/officeDocument/2006/relationships/hyperlink" Target="http://www.farsmarterbids.com/regs/fars/section.php?sectionID=03520239-72" TargetMode="External"/><Relationship Id="rId20" Type="http://schemas.openxmlformats.org/officeDocument/2006/relationships/hyperlink" Target="https://irtsectraining.nih.gov/CSA/0301010_BehaviorRul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o.nih.gov/aboutus/publicinfosecurity/acquisition/Documents/SuitabilityRoster_10-15-12.xlsx" TargetMode="External"/><Relationship Id="rId24" Type="http://schemas.openxmlformats.org/officeDocument/2006/relationships/hyperlink" Target="https://oma.od.nih.gov/DMS/Pages/Privacy-Program-Privacy-Incidents-and-Breach-Response.aspx" TargetMode="External"/><Relationship Id="rId5" Type="http://schemas.openxmlformats.org/officeDocument/2006/relationships/footnotes" Target="footnotes.xml"/><Relationship Id="rId15" Type="http://schemas.openxmlformats.org/officeDocument/2006/relationships/hyperlink" Target="http://csrc.nist.gov/publications/fips/fips201-1/FIPS-201-1-chng1.pdf" TargetMode="External"/><Relationship Id="rId23" Type="http://schemas.openxmlformats.org/officeDocument/2006/relationships/hyperlink" Target="mailto:IRT@mail.nih.gov" TargetMode="External"/><Relationship Id="rId28" Type="http://schemas.openxmlformats.org/officeDocument/2006/relationships/theme" Target="theme/theme1.xml"/><Relationship Id="rId10" Type="http://schemas.openxmlformats.org/officeDocument/2006/relationships/hyperlink" Target="https://ors.od.nih.gov/ser/dpsac/services/badge-issuance/Pages/getting-your-badge.aspx" TargetMode="External"/><Relationship Id="rId19" Type="http://schemas.openxmlformats.org/officeDocument/2006/relationships/hyperlink" Target="%20https://www.hhs.gov/about/agencies/asa/ocio/cybersecurity/security-awareness-training/index.html%20" TargetMode="External"/><Relationship Id="rId4" Type="http://schemas.openxmlformats.org/officeDocument/2006/relationships/webSettings" Target="webSettings.xml"/><Relationship Id="rId9" Type="http://schemas.openxmlformats.org/officeDocument/2006/relationships/hyperlink" Target="https://www.dhs.gov/homeland-security-presidential-directive-12" TargetMode="External"/><Relationship Id="rId14" Type="http://schemas.openxmlformats.org/officeDocument/2006/relationships/hyperlink" Target="http://nvd.nist.gov/validation.cfm" TargetMode="External"/><Relationship Id="rId22" Type="http://schemas.openxmlformats.org/officeDocument/2006/relationships/hyperlink" Target="http://oamp.od.nih.gov/sites/default/files/DGS/contracting-forms/Nondisclosu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Information Security Clauses-SAT</vt:lpstr>
    </vt:vector>
  </TitlesOfParts>
  <Company>NIH</Company>
  <LinksUpToDate>false</LinksUpToDate>
  <CharactersWithSpaces>28905</CharactersWithSpaces>
  <SharedDoc>false</SharedDoc>
  <HLinks>
    <vt:vector size="108" baseType="variant">
      <vt:variant>
        <vt:i4>1114201</vt:i4>
      </vt:variant>
      <vt:variant>
        <vt:i4>51</vt:i4>
      </vt:variant>
      <vt:variant>
        <vt:i4>0</vt:i4>
      </vt:variant>
      <vt:variant>
        <vt:i4>5</vt:i4>
      </vt:variant>
      <vt:variant>
        <vt:lpwstr>http://www.sans.org/top20/?ref=3706</vt:lpwstr>
      </vt:variant>
      <vt:variant>
        <vt:lpwstr>w1</vt:lpwstr>
      </vt:variant>
      <vt:variant>
        <vt:i4>1441866</vt:i4>
      </vt:variant>
      <vt:variant>
        <vt:i4>48</vt:i4>
      </vt:variant>
      <vt:variant>
        <vt:i4>0</vt:i4>
      </vt:variant>
      <vt:variant>
        <vt:i4>5</vt:i4>
      </vt:variant>
      <vt:variant>
        <vt:lpwstr>http://ocio.nih.gov/docs/public/Lost_or_Stolen.doc</vt:lpwstr>
      </vt:variant>
      <vt:variant>
        <vt:lpwstr/>
      </vt:variant>
      <vt:variant>
        <vt:i4>5439501</vt:i4>
      </vt:variant>
      <vt:variant>
        <vt:i4>45</vt:i4>
      </vt:variant>
      <vt:variant>
        <vt:i4>0</vt:i4>
      </vt:variant>
      <vt:variant>
        <vt:i4>5</vt:i4>
      </vt:variant>
      <vt:variant>
        <vt:lpwstr>http://ocio.nih.gov/docs/public/PII_Spillage_Report.doc</vt:lpwstr>
      </vt:variant>
      <vt:variant>
        <vt:lpwstr/>
      </vt:variant>
      <vt:variant>
        <vt:i4>8192020</vt:i4>
      </vt:variant>
      <vt:variant>
        <vt:i4>42</vt:i4>
      </vt:variant>
      <vt:variant>
        <vt:i4>0</vt:i4>
      </vt:variant>
      <vt:variant>
        <vt:i4>5</vt:i4>
      </vt:variant>
      <vt:variant>
        <vt:lpwstr>mailto:IRT@mail.nih.gov</vt:lpwstr>
      </vt:variant>
      <vt:variant>
        <vt:lpwstr/>
      </vt:variant>
      <vt:variant>
        <vt:i4>1245253</vt:i4>
      </vt:variant>
      <vt:variant>
        <vt:i4>39</vt:i4>
      </vt:variant>
      <vt:variant>
        <vt:i4>0</vt:i4>
      </vt:variant>
      <vt:variant>
        <vt:i4>5</vt:i4>
      </vt:variant>
      <vt:variant>
        <vt:lpwstr>http://ocio.nih.gov/docs/public/Nondisclosure.pdf</vt:lpwstr>
      </vt:variant>
      <vt:variant>
        <vt:lpwstr/>
      </vt:variant>
      <vt:variant>
        <vt:i4>131074</vt:i4>
      </vt:variant>
      <vt:variant>
        <vt:i4>36</vt:i4>
      </vt:variant>
      <vt:variant>
        <vt:i4>0</vt:i4>
      </vt:variant>
      <vt:variant>
        <vt:i4>5</vt:i4>
      </vt:variant>
      <vt:variant>
        <vt:lpwstr>http://ocio.nih.gov/nihsecurity/Emp-sep-checklist.pdf</vt:lpwstr>
      </vt:variant>
      <vt:variant>
        <vt:lpwstr/>
      </vt:variant>
      <vt:variant>
        <vt:i4>7274601</vt:i4>
      </vt:variant>
      <vt:variant>
        <vt:i4>33</vt:i4>
      </vt:variant>
      <vt:variant>
        <vt:i4>0</vt:i4>
      </vt:variant>
      <vt:variant>
        <vt:i4>5</vt:i4>
      </vt:variant>
      <vt:variant>
        <vt:lpwstr>http://irtsectraining.nih.gov/</vt:lpwstr>
      </vt:variant>
      <vt:variant>
        <vt:lpwstr/>
      </vt:variant>
      <vt:variant>
        <vt:i4>3080254</vt:i4>
      </vt:variant>
      <vt:variant>
        <vt:i4>30</vt:i4>
      </vt:variant>
      <vt:variant>
        <vt:i4>0</vt:i4>
      </vt:variant>
      <vt:variant>
        <vt:i4>5</vt:i4>
      </vt:variant>
      <vt:variant>
        <vt:lpwstr>http://ocio.nih.gov/security/nihitrob.html</vt:lpwstr>
      </vt:variant>
      <vt:variant>
        <vt:lpwstr/>
      </vt:variant>
      <vt:variant>
        <vt:i4>8257585</vt:i4>
      </vt:variant>
      <vt:variant>
        <vt:i4>27</vt:i4>
      </vt:variant>
      <vt:variant>
        <vt:i4>0</vt:i4>
      </vt:variant>
      <vt:variant>
        <vt:i4>5</vt:i4>
      </vt:variant>
      <vt:variant>
        <vt:lpwstr>http://ocio.nih.gov/security/security-communicating.htm</vt:lpwstr>
      </vt:variant>
      <vt:variant>
        <vt:lpwstr>RoleBased</vt:lpwstr>
      </vt:variant>
      <vt:variant>
        <vt:i4>7274601</vt:i4>
      </vt:variant>
      <vt:variant>
        <vt:i4>24</vt:i4>
      </vt:variant>
      <vt:variant>
        <vt:i4>0</vt:i4>
      </vt:variant>
      <vt:variant>
        <vt:i4>5</vt:i4>
      </vt:variant>
      <vt:variant>
        <vt:lpwstr>http://irtsectraining.nih.gov/</vt:lpwstr>
      </vt:variant>
      <vt:variant>
        <vt:lpwstr/>
      </vt:variant>
      <vt:variant>
        <vt:i4>5898253</vt:i4>
      </vt:variant>
      <vt:variant>
        <vt:i4>21</vt:i4>
      </vt:variant>
      <vt:variant>
        <vt:i4>0</vt:i4>
      </vt:variant>
      <vt:variant>
        <vt:i4>5</vt:i4>
      </vt:variant>
      <vt:variant>
        <vt:lpwstr>http://csrc.nist.gov/publications/fips/fips201-1/FIPS-201-1-chng1.pdf</vt:lpwstr>
      </vt:variant>
      <vt:variant>
        <vt:lpwstr/>
      </vt:variant>
      <vt:variant>
        <vt:i4>3276912</vt:i4>
      </vt:variant>
      <vt:variant>
        <vt:i4>18</vt:i4>
      </vt:variant>
      <vt:variant>
        <vt:i4>0</vt:i4>
      </vt:variant>
      <vt:variant>
        <vt:i4>5</vt:i4>
      </vt:variant>
      <vt:variant>
        <vt:lpwstr>http://nvd.nist.gov/validation.cfm</vt:lpwstr>
      </vt:variant>
      <vt:variant>
        <vt:lpwstr/>
      </vt:variant>
      <vt:variant>
        <vt:i4>3014708</vt:i4>
      </vt:variant>
      <vt:variant>
        <vt:i4>15</vt:i4>
      </vt:variant>
      <vt:variant>
        <vt:i4>0</vt:i4>
      </vt:variant>
      <vt:variant>
        <vt:i4>5</vt:i4>
      </vt:variant>
      <vt:variant>
        <vt:lpwstr>http://nvd.nist.gov/fdcc/index.cfm</vt:lpwstr>
      </vt:variant>
      <vt:variant>
        <vt:lpwstr/>
      </vt:variant>
      <vt:variant>
        <vt:i4>7864420</vt:i4>
      </vt:variant>
      <vt:variant>
        <vt:i4>12</vt:i4>
      </vt:variant>
      <vt:variant>
        <vt:i4>0</vt:i4>
      </vt:variant>
      <vt:variant>
        <vt:i4>5</vt:i4>
      </vt:variant>
      <vt:variant>
        <vt:lpwstr>http://ocio.nih.gov/docs/public/Suitability-roster.xls</vt:lpwstr>
      </vt:variant>
      <vt:variant>
        <vt:lpwstr/>
      </vt:variant>
      <vt:variant>
        <vt:i4>2621503</vt:i4>
      </vt:variant>
      <vt:variant>
        <vt:i4>9</vt:i4>
      </vt:variant>
      <vt:variant>
        <vt:i4>0</vt:i4>
      </vt:variant>
      <vt:variant>
        <vt:i4>5</vt:i4>
      </vt:variant>
      <vt:variant>
        <vt:lpwstr>http://idbadge.nih.gov/background/index.asp</vt:lpwstr>
      </vt:variant>
      <vt:variant>
        <vt:lpwstr/>
      </vt:variant>
      <vt:variant>
        <vt:i4>4587601</vt:i4>
      </vt:variant>
      <vt:variant>
        <vt:i4>6</vt:i4>
      </vt:variant>
      <vt:variant>
        <vt:i4>0</vt:i4>
      </vt:variant>
      <vt:variant>
        <vt:i4>5</vt:i4>
      </vt:variant>
      <vt:variant>
        <vt:lpwstr>http://www.whitehouse.gov/sites/default/files/omb/assets/omb/memoranda/fy2005/m05-24.pdf</vt:lpwstr>
      </vt:variant>
      <vt:variant>
        <vt:lpwstr/>
      </vt:variant>
      <vt:variant>
        <vt:i4>8126496</vt:i4>
      </vt:variant>
      <vt:variant>
        <vt:i4>3</vt:i4>
      </vt:variant>
      <vt:variant>
        <vt:i4>0</vt:i4>
      </vt:variant>
      <vt:variant>
        <vt:i4>5</vt:i4>
      </vt:variant>
      <vt:variant>
        <vt:lpwstr>http://www.hhs.gov/ohr/manual/pssh.pdf</vt:lpwstr>
      </vt:variant>
      <vt:variant>
        <vt:lpwstr/>
      </vt:variant>
      <vt:variant>
        <vt:i4>589894</vt:i4>
      </vt:variant>
      <vt:variant>
        <vt:i4>0</vt:i4>
      </vt:variant>
      <vt:variant>
        <vt:i4>0</vt:i4>
      </vt:variant>
      <vt:variant>
        <vt:i4>5</vt:i4>
      </vt:variant>
      <vt:variant>
        <vt:lpwstr>http://www.hhs.gov/read/irmpolicy/121504.html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Clauses-SAT</dc:title>
  <dc:subject>Information Security Clauses-SAT</dc:subject>
  <dc:creator>NIH/OD/OALM/OAMP</dc:creator>
  <cp:keywords/>
  <dc:description/>
  <cp:lastModifiedBy>Mattson, Janet (NIH/OD) [C]</cp:lastModifiedBy>
  <cp:revision>7</cp:revision>
  <cp:lastPrinted>2013-02-12T19:35:00Z</cp:lastPrinted>
  <dcterms:created xsi:type="dcterms:W3CDTF">2021-07-27T20:32:00Z</dcterms:created>
  <dcterms:modified xsi:type="dcterms:W3CDTF">2021-07-28T13:55:00Z</dcterms:modified>
</cp:coreProperties>
</file>